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8DB371" w14:textId="77777777" w:rsidR="0032071E" w:rsidRDefault="0032071E">
      <w:pPr>
        <w:rPr>
          <w:rFonts w:ascii="Times New Roman" w:hAnsi="Times New Roman" w:cs="Times New Roman"/>
          <w:sz w:val="24"/>
          <w:szCs w:val="24"/>
        </w:rPr>
      </w:pPr>
    </w:p>
    <w:p w14:paraId="4B2999B7"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Appendix 1:</w:t>
      </w:r>
    </w:p>
    <w:p w14:paraId="15FAED01"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hint="eastAsia"/>
          <w:sz w:val="24"/>
          <w:szCs w:val="24"/>
        </w:rPr>
        <w:t>rompt for agent to propose the PPI change criterion:</w:t>
      </w:r>
    </w:p>
    <w:p w14:paraId="56630BF0" w14:textId="77777777" w:rsidR="0032071E" w:rsidRDefault="00000000">
      <w:pPr>
        <w:pStyle w:val="af1"/>
        <w:numPr>
          <w:ilvl w:val="0"/>
          <w:numId w:val="1"/>
        </w:numPr>
        <w:rPr>
          <w:rFonts w:ascii="Times New Roman" w:hAnsi="Times New Roman" w:cs="Times New Roman"/>
          <w:sz w:val="24"/>
          <w:szCs w:val="24"/>
        </w:rPr>
      </w:pPr>
      <w:r>
        <w:rPr>
          <w:rFonts w:ascii="Times New Roman" w:hAnsi="Times New Roman" w:cs="Times New Roman" w:hint="eastAsia"/>
          <w:sz w:val="24"/>
          <w:szCs w:val="24"/>
        </w:rPr>
        <w:t>the prompt for agent to classify the PPI change to neo, hypo and native PPI with literature provided:</w:t>
      </w:r>
    </w:p>
    <w:p w14:paraId="30CDE874" w14:textId="77777777" w:rsidR="0032071E" w:rsidRDefault="0032071E">
      <w:pPr>
        <w:pStyle w:val="af1"/>
        <w:ind w:left="360"/>
        <w:rPr>
          <w:rFonts w:ascii="Times New Roman" w:hAnsi="Times New Roman" w:cs="Times New Roman"/>
          <w:sz w:val="24"/>
          <w:szCs w:val="24"/>
        </w:rPr>
      </w:pPr>
    </w:p>
    <w:p w14:paraId="665B840D" w14:textId="77777777" w:rsidR="0032071E" w:rsidRDefault="00000000">
      <w:pPr>
        <w:pStyle w:val="af1"/>
        <w:ind w:left="360"/>
        <w:rPr>
          <w:rFonts w:ascii="Times New Roman" w:hAnsi="Times New Roman" w:cs="Times New Roman"/>
          <w:sz w:val="24"/>
          <w:szCs w:val="24"/>
        </w:rPr>
      </w:pPr>
      <w:r>
        <w:rPr>
          <w:rFonts w:ascii="Times New Roman" w:hAnsi="Times New Roman" w:cs="Times New Roman" w:hint="eastAsia"/>
          <w:sz w:val="24"/>
          <w:szCs w:val="24"/>
        </w:rPr>
        <w:t>You are a bioinformatics assistant, b</w:t>
      </w:r>
      <w:r>
        <w:rPr>
          <w:rFonts w:ascii="Times New Roman" w:hAnsi="Times New Roman" w:cs="Times New Roman"/>
          <w:sz w:val="24"/>
          <w:szCs w:val="24"/>
        </w:rPr>
        <w:t>ased on the provided paper, classify single-point mutations in protein-protein complexes into one of three PPI perturbation categories. Classification categories: Neomorphic PPI: The mutation leads to a new binding mode and potentially increases protein–protein interactions. Hypomorphic PPI: The mutation disrupts the original interaction and may result in loss of function. Native PPI: The mutation causes no significant perturbation at the interface and has minimal impact on the interaction. Note: If the paper does not provide direct evidence about the mutation’s effect on the protein–protein interaction interface, explicitly state that</w:t>
      </w:r>
      <w:r>
        <w:rPr>
          <w:rFonts w:ascii="Times New Roman" w:hAnsi="Times New Roman" w:cs="Times New Roman" w:hint="eastAsia"/>
          <w:sz w:val="24"/>
          <w:szCs w:val="24"/>
        </w:rPr>
        <w:t xml:space="preserve">. If the paper provides binding data or other experiment data, carefully check whether for the complex </w:t>
      </w:r>
      <w:r>
        <w:rPr>
          <w:rFonts w:ascii="Times New Roman" w:hAnsi="Times New Roman" w:cs="Times New Roman"/>
          <w:sz w:val="24"/>
          <w:szCs w:val="24"/>
        </w:rPr>
        <w:t>internal</w:t>
      </w:r>
      <w:r>
        <w:rPr>
          <w:rFonts w:ascii="Times New Roman" w:hAnsi="Times New Roman" w:cs="Times New Roman" w:hint="eastAsia"/>
          <w:sz w:val="24"/>
          <w:szCs w:val="24"/>
        </w:rPr>
        <w:t xml:space="preserve"> interaction or </w:t>
      </w:r>
      <w:r>
        <w:rPr>
          <w:rFonts w:ascii="Times New Roman" w:hAnsi="Times New Roman" w:cs="Times New Roman"/>
          <w:sz w:val="24"/>
          <w:szCs w:val="24"/>
        </w:rPr>
        <w:t xml:space="preserve">interaction </w:t>
      </w:r>
      <w:r>
        <w:rPr>
          <w:rFonts w:ascii="Times New Roman" w:hAnsi="Times New Roman" w:cs="Times New Roman" w:hint="eastAsia"/>
          <w:sz w:val="24"/>
          <w:szCs w:val="24"/>
        </w:rPr>
        <w:t xml:space="preserve">of </w:t>
      </w:r>
      <w:r>
        <w:rPr>
          <w:rFonts w:ascii="Times New Roman" w:hAnsi="Times New Roman" w:cs="Times New Roman"/>
          <w:sz w:val="24"/>
          <w:szCs w:val="24"/>
        </w:rPr>
        <w:t>binding partners</w:t>
      </w:r>
      <w:r>
        <w:rPr>
          <w:rFonts w:ascii="Times New Roman" w:hAnsi="Times New Roman" w:cs="Times New Roman" w:hint="eastAsia"/>
          <w:sz w:val="24"/>
          <w:szCs w:val="24"/>
        </w:rPr>
        <w:t xml:space="preserve"> like substrate. </w:t>
      </w:r>
      <w:r>
        <w:rPr>
          <w:rFonts w:ascii="Times New Roman" w:hAnsi="Times New Roman" w:cs="Times New Roman"/>
          <w:sz w:val="24"/>
          <w:szCs w:val="24"/>
        </w:rPr>
        <w:t>Please answer in English, giving for each mutation:</w:t>
      </w:r>
    </w:p>
    <w:p w14:paraId="5FE5E5B9"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 xml:space="preserve">   </w:t>
      </w:r>
    </w:p>
    <w:p w14:paraId="11AAE5D8"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 xml:space="preserve">    </w:t>
      </w:r>
    </w:p>
    <w:p w14:paraId="644037B4"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 xml:space="preserve">    </w:t>
      </w:r>
    </w:p>
    <w:p w14:paraId="0EA5E2FD"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 xml:space="preserve">   </w:t>
      </w:r>
    </w:p>
    <w:p w14:paraId="0D01BB49" w14:textId="77777777" w:rsidR="0032071E" w:rsidRDefault="0032071E">
      <w:pPr>
        <w:rPr>
          <w:rFonts w:ascii="Times New Roman" w:hAnsi="Times New Roman" w:cs="Times New Roman"/>
          <w:sz w:val="24"/>
          <w:szCs w:val="24"/>
        </w:rPr>
      </w:pPr>
    </w:p>
    <w:p w14:paraId="167A9BEA" w14:textId="77777777" w:rsidR="0032071E" w:rsidRDefault="00000000">
      <w:pPr>
        <w:numPr>
          <w:ilvl w:val="0"/>
          <w:numId w:val="1"/>
        </w:numPr>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hint="eastAsia"/>
          <w:sz w:val="24"/>
          <w:szCs w:val="24"/>
        </w:rPr>
        <w:t>he</w:t>
      </w:r>
      <w:r>
        <w:rPr>
          <w:rFonts w:ascii="Times New Roman" w:hAnsi="Times New Roman" w:cs="Times New Roman"/>
          <w:sz w:val="24"/>
          <w:szCs w:val="24"/>
        </w:rPr>
        <w:t xml:space="preserve"> prompt for agent to define interaction change criterion:</w:t>
      </w:r>
    </w:p>
    <w:p w14:paraId="78BC22EA" w14:textId="77777777" w:rsidR="0032071E" w:rsidRDefault="0032071E">
      <w:pPr>
        <w:rPr>
          <w:rFonts w:ascii="Times New Roman" w:hAnsi="Times New Roman" w:cs="Times New Roman"/>
          <w:sz w:val="24"/>
          <w:szCs w:val="24"/>
        </w:rPr>
      </w:pPr>
    </w:p>
    <w:p w14:paraId="64947313"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You are a bioinformatics assistant. Explain how to determine whether a mutation changes a protein–protein interaction, considering interface residues, hydrogen bonds, salt bridges, and ΔpDockQ. Suggest complementary metrics if needed. Answer in English.</w:t>
      </w:r>
    </w:p>
    <w:p w14:paraId="2E0F9AB6" w14:textId="77777777" w:rsidR="0032071E" w:rsidRDefault="0032071E">
      <w:pPr>
        <w:rPr>
          <w:rFonts w:ascii="Times New Roman" w:hAnsi="Times New Roman" w:cs="Times New Roman"/>
          <w:sz w:val="24"/>
          <w:szCs w:val="24"/>
        </w:rPr>
      </w:pPr>
    </w:p>
    <w:p w14:paraId="27AF06CB" w14:textId="77777777" w:rsidR="0032071E" w:rsidRDefault="00000000">
      <w:pPr>
        <w:numPr>
          <w:ilvl w:val="0"/>
          <w:numId w:val="1"/>
        </w:numPr>
        <w:rPr>
          <w:rFonts w:ascii="Times New Roman" w:hAnsi="Times New Roman" w:cs="Times New Roman"/>
          <w:sz w:val="24"/>
          <w:szCs w:val="24"/>
        </w:rPr>
      </w:pPr>
      <w:r>
        <w:rPr>
          <w:rFonts w:ascii="Times New Roman" w:hAnsi="Times New Roman" w:cs="Times New Roman"/>
          <w:sz w:val="24"/>
          <w:szCs w:val="24"/>
        </w:rPr>
        <w:t>t</w:t>
      </w:r>
      <w:r>
        <w:rPr>
          <w:rFonts w:ascii="Times New Roman" w:hAnsi="Times New Roman" w:cs="Times New Roman" w:hint="eastAsia"/>
          <w:sz w:val="24"/>
          <w:szCs w:val="24"/>
        </w:rPr>
        <w:t>he</w:t>
      </w:r>
      <w:r>
        <w:rPr>
          <w:rFonts w:ascii="Times New Roman" w:hAnsi="Times New Roman" w:cs="Times New Roman"/>
          <w:sz w:val="24"/>
          <w:szCs w:val="24"/>
        </w:rPr>
        <w:t xml:space="preserve"> prompt for agent to collect data for PPI analysis:</w:t>
      </w:r>
    </w:p>
    <w:p w14:paraId="00A468F3" w14:textId="77777777" w:rsidR="0032071E" w:rsidRDefault="0032071E">
      <w:pPr>
        <w:rPr>
          <w:rFonts w:ascii="Times New Roman" w:hAnsi="Times New Roman" w:cs="Times New Roman"/>
          <w:sz w:val="24"/>
          <w:szCs w:val="24"/>
        </w:rPr>
      </w:pPr>
    </w:p>
    <w:p w14:paraId="3E5AE587"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You are a bioinformatics assistant. Describe how to collect and curate wild-type and mutant protein–protein complexes for mutation impact analysis. Include structure retrieval, filtering, WT–MUT pairing, and optional predicted structures (e.g., AlphaFold2). Answer in English.</w:t>
      </w:r>
    </w:p>
    <w:p w14:paraId="40244F2D" w14:textId="77777777" w:rsidR="0032071E" w:rsidRDefault="0032071E">
      <w:pPr>
        <w:rPr>
          <w:rFonts w:ascii="Times New Roman" w:hAnsi="Times New Roman" w:cs="Times New Roman"/>
          <w:sz w:val="24"/>
          <w:szCs w:val="24"/>
        </w:rPr>
      </w:pPr>
    </w:p>
    <w:p w14:paraId="4BFE3C33" w14:textId="77777777" w:rsidR="0032071E" w:rsidRDefault="0032071E">
      <w:pPr>
        <w:rPr>
          <w:rFonts w:ascii="Times New Roman" w:hAnsi="Times New Roman" w:cs="Times New Roman"/>
          <w:sz w:val="24"/>
          <w:szCs w:val="24"/>
        </w:rPr>
      </w:pPr>
    </w:p>
    <w:p w14:paraId="73585BF9"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Appendix 2:</w:t>
      </w:r>
    </w:p>
    <w:p w14:paraId="1FCD4B6E" w14:textId="77777777" w:rsidR="0032071E" w:rsidRDefault="0032071E">
      <w:pPr>
        <w:rPr>
          <w:rFonts w:ascii="Times New Roman" w:hAnsi="Times New Roman" w:cs="Times New Roman"/>
          <w:sz w:val="24"/>
          <w:szCs w:val="24"/>
        </w:rPr>
      </w:pPr>
    </w:p>
    <w:p w14:paraId="21D38B10"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 xml:space="preserve">We have collect the output of PIPA and we show that there have some hallucination that highlight with human scientist </w:t>
      </w:r>
      <w:r>
        <w:rPr>
          <w:rFonts w:ascii="Times New Roman" w:hAnsi="Times New Roman" w:cs="Times New Roman"/>
          <w:sz w:val="24"/>
          <w:szCs w:val="24"/>
        </w:rPr>
        <w:t>correction.</w:t>
      </w:r>
      <w:r>
        <w:rPr>
          <w:rFonts w:ascii="Times New Roman" w:hAnsi="Times New Roman" w:cs="Times New Roman" w:hint="eastAsia"/>
          <w:sz w:val="24"/>
          <w:szCs w:val="24"/>
        </w:rPr>
        <w:t xml:space="preserve"> </w:t>
      </w:r>
    </w:p>
    <w:p w14:paraId="4B8A9EF5" w14:textId="77777777" w:rsidR="0032071E" w:rsidRDefault="00000000">
      <w:pPr>
        <w:numPr>
          <w:ilvl w:val="0"/>
          <w:numId w:val="2"/>
        </w:numPr>
        <w:rPr>
          <w:rFonts w:ascii="Times New Roman" w:hAnsi="Times New Roman" w:cs="Times New Roman"/>
          <w:sz w:val="24"/>
          <w:szCs w:val="24"/>
        </w:rPr>
      </w:pPr>
      <w:r>
        <w:rPr>
          <w:rFonts w:ascii="Times New Roman" w:hAnsi="Times New Roman" w:cs="Times New Roman" w:hint="eastAsia"/>
          <w:sz w:val="24"/>
          <w:szCs w:val="24"/>
        </w:rPr>
        <w:t>Hallucination or Misclassification Cases</w:t>
      </w:r>
    </w:p>
    <w:p w14:paraId="2000F50C"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The comparison reveals two main types of discrepancies, totaling 27 cases:</w:t>
      </w:r>
    </w:p>
    <w:p w14:paraId="5FC5913E"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 xml:space="preserve">(1)Fabricating or Lacking Supporting Evidence: PIPA inferred PPI effects without </w:t>
      </w:r>
      <w:r>
        <w:rPr>
          <w:rFonts w:ascii="Times New Roman" w:hAnsi="Times New Roman" w:cs="Times New Roman" w:hint="eastAsia"/>
          <w:sz w:val="24"/>
          <w:szCs w:val="24"/>
        </w:rPr>
        <w:lastRenderedPageBreak/>
        <w:t>direct experimental support from the original papers.</w:t>
      </w:r>
    </w:p>
    <w:p w14:paraId="3961E718"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(2)Misinterpreting Evidence and Functional Context: PIPA misclassified mutations by misinterpreting structural or functional data, often conflating catalytic or allosteric effects with true PPI changes.</w:t>
      </w:r>
    </w:p>
    <w:p w14:paraId="7BEB48F3"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Below we list the 27 mutation cases grouped into these two categories. Each entry includes the PDB pair, mutation, PIPA</w:t>
      </w:r>
      <w:r>
        <w:rPr>
          <w:rFonts w:ascii="Times New Roman" w:hAnsi="Times New Roman" w:cs="Times New Roman" w:hint="eastAsia"/>
          <w:sz w:val="24"/>
          <w:szCs w:val="24"/>
        </w:rPr>
        <w:t>’</w:t>
      </w:r>
      <w:r>
        <w:rPr>
          <w:rFonts w:ascii="Times New Roman" w:hAnsi="Times New Roman" w:cs="Times New Roman" w:hint="eastAsia"/>
          <w:sz w:val="24"/>
          <w:szCs w:val="24"/>
        </w:rPr>
        <w:t>s classification, the researcher</w:t>
      </w:r>
      <w:r>
        <w:rPr>
          <w:rFonts w:ascii="Times New Roman" w:hAnsi="Times New Roman" w:cs="Times New Roman" w:hint="eastAsia"/>
          <w:sz w:val="24"/>
          <w:szCs w:val="24"/>
        </w:rPr>
        <w:t>’</w:t>
      </w:r>
      <w:r>
        <w:rPr>
          <w:rFonts w:ascii="Times New Roman" w:hAnsi="Times New Roman" w:cs="Times New Roman" w:hint="eastAsia"/>
          <w:sz w:val="24"/>
          <w:szCs w:val="24"/>
        </w:rPr>
        <w:t>s correction, and a brief note on the discrepancy.</w:t>
      </w:r>
    </w:p>
    <w:p w14:paraId="0C5A8C30" w14:textId="77777777" w:rsidR="0032071E" w:rsidRDefault="0032071E">
      <w:pPr>
        <w:rPr>
          <w:rFonts w:ascii="Times New Roman" w:hAnsi="Times New Roman" w:cs="Times New Roman"/>
          <w:sz w:val="24"/>
          <w:szCs w:val="24"/>
        </w:rPr>
      </w:pPr>
    </w:p>
    <w:p w14:paraId="08C0D54C" w14:textId="77777777" w:rsidR="0032071E" w:rsidRDefault="00000000">
      <w:pPr>
        <w:jc w:val="center"/>
        <w:rPr>
          <w:rFonts w:ascii="Times New Roman" w:hAnsi="Times New Roman" w:cs="Times New Roman"/>
          <w:sz w:val="24"/>
          <w:szCs w:val="24"/>
        </w:rPr>
      </w:pPr>
      <w:r>
        <w:rPr>
          <w:rFonts w:ascii="Times New Roman" w:hAnsi="Times New Roman" w:cs="Times New Roman" w:hint="eastAsia"/>
          <w:sz w:val="24"/>
          <w:szCs w:val="24"/>
        </w:rPr>
        <w:t>Table A2.1: Fabri</w:t>
      </w:r>
    </w:p>
    <w:p w14:paraId="68C37F80" w14:textId="77777777" w:rsidR="0032071E" w:rsidRDefault="00000000">
      <w:pPr>
        <w:jc w:val="center"/>
        <w:rPr>
          <w:rFonts w:ascii="Times New Roman" w:hAnsi="Times New Roman" w:cs="Times New Roman"/>
          <w:sz w:val="24"/>
          <w:szCs w:val="24"/>
        </w:rPr>
      </w:pPr>
      <w:r>
        <w:rPr>
          <w:rFonts w:ascii="Times New Roman" w:hAnsi="Times New Roman" w:cs="Times New Roman" w:hint="eastAsia"/>
          <w:sz w:val="24"/>
          <w:szCs w:val="24"/>
        </w:rPr>
        <w:t>cating or Lacking Supporting Evidence</w:t>
      </w:r>
    </w:p>
    <w:p w14:paraId="2EFF48DD" w14:textId="77777777" w:rsidR="0032071E" w:rsidRDefault="0032071E">
      <w:pPr>
        <w:rPr>
          <w:rFonts w:ascii="Times New Roman" w:hAnsi="Times New Roman" w:cs="Times New Roman"/>
          <w:sz w:val="24"/>
          <w:szCs w:val="24"/>
        </w:rPr>
      </w:pPr>
    </w:p>
    <w:tbl>
      <w:tblPr>
        <w:tblStyle w:val="ac"/>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CellMar>
          <w:top w:w="32" w:type="dxa"/>
          <w:left w:w="64" w:type="dxa"/>
          <w:bottom w:w="32" w:type="dxa"/>
          <w:right w:w="64" w:type="dxa"/>
        </w:tblCellMar>
        <w:tblLook w:val="04A0" w:firstRow="1" w:lastRow="0" w:firstColumn="1" w:lastColumn="0" w:noHBand="0" w:noVBand="1"/>
      </w:tblPr>
      <w:tblGrid>
        <w:gridCol w:w="795"/>
        <w:gridCol w:w="902"/>
        <w:gridCol w:w="1228"/>
        <w:gridCol w:w="1128"/>
        <w:gridCol w:w="2826"/>
        <w:gridCol w:w="1427"/>
      </w:tblGrid>
      <w:tr w:rsidR="0032071E" w14:paraId="02252224" w14:textId="77777777">
        <w:trPr>
          <w:tblHeader/>
          <w:jc w:val="center"/>
        </w:trPr>
        <w:tc>
          <w:tcPr>
            <w:tcW w:w="0" w:type="auto"/>
            <w:tcBorders>
              <w:bottom w:val="single" w:sz="6" w:space="0" w:color="auto"/>
            </w:tcBorders>
            <w:vAlign w:val="center"/>
          </w:tcPr>
          <w:p w14:paraId="129B0753"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WT_PDB</w:t>
            </w:r>
          </w:p>
        </w:tc>
        <w:tc>
          <w:tcPr>
            <w:tcW w:w="0" w:type="auto"/>
            <w:tcBorders>
              <w:bottom w:val="single" w:sz="6" w:space="0" w:color="auto"/>
            </w:tcBorders>
            <w:vAlign w:val="center"/>
          </w:tcPr>
          <w:p w14:paraId="6074C81A"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MUT_PDB</w:t>
            </w:r>
          </w:p>
        </w:tc>
        <w:tc>
          <w:tcPr>
            <w:tcW w:w="0" w:type="auto"/>
            <w:tcBorders>
              <w:bottom w:val="single" w:sz="6" w:space="0" w:color="auto"/>
            </w:tcBorders>
            <w:vAlign w:val="center"/>
          </w:tcPr>
          <w:p w14:paraId="7B2D7C30"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Mutation</w:t>
            </w:r>
          </w:p>
        </w:tc>
        <w:tc>
          <w:tcPr>
            <w:tcW w:w="0" w:type="auto"/>
            <w:tcBorders>
              <w:bottom w:val="single" w:sz="6" w:space="0" w:color="auto"/>
            </w:tcBorders>
            <w:vAlign w:val="center"/>
          </w:tcPr>
          <w:p w14:paraId="1B02291D"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PIPA_Class</w:t>
            </w:r>
          </w:p>
        </w:tc>
        <w:tc>
          <w:tcPr>
            <w:tcW w:w="0" w:type="auto"/>
            <w:tcBorders>
              <w:bottom w:val="single" w:sz="6" w:space="0" w:color="auto"/>
            </w:tcBorders>
            <w:vAlign w:val="center"/>
          </w:tcPr>
          <w:p w14:paraId="3CEFF1C3"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Researcher_Note</w:t>
            </w:r>
          </w:p>
        </w:tc>
        <w:tc>
          <w:tcPr>
            <w:tcW w:w="0" w:type="auto"/>
            <w:tcBorders>
              <w:bottom w:val="single" w:sz="6" w:space="0" w:color="auto"/>
            </w:tcBorders>
            <w:vAlign w:val="center"/>
          </w:tcPr>
          <w:p w14:paraId="5C1A9078"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Discrepancy Type</w:t>
            </w:r>
          </w:p>
        </w:tc>
      </w:tr>
      <w:tr w:rsidR="0032071E" w14:paraId="083CEE0D" w14:textId="77777777">
        <w:trPr>
          <w:jc w:val="center"/>
        </w:trPr>
        <w:tc>
          <w:tcPr>
            <w:tcW w:w="0" w:type="auto"/>
            <w:tcBorders>
              <w:top w:val="single" w:sz="6" w:space="0" w:color="auto"/>
            </w:tcBorders>
            <w:vAlign w:val="center"/>
          </w:tcPr>
          <w:p w14:paraId="659B6AAF"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1V1R</w:t>
            </w:r>
          </w:p>
        </w:tc>
        <w:tc>
          <w:tcPr>
            <w:tcW w:w="0" w:type="auto"/>
            <w:tcBorders>
              <w:top w:val="single" w:sz="6" w:space="0" w:color="auto"/>
            </w:tcBorders>
            <w:vAlign w:val="center"/>
          </w:tcPr>
          <w:p w14:paraId="1658B0D8"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1V1M</w:t>
            </w:r>
          </w:p>
        </w:tc>
        <w:tc>
          <w:tcPr>
            <w:tcW w:w="0" w:type="auto"/>
            <w:tcBorders>
              <w:top w:val="single" w:sz="6" w:space="0" w:color="auto"/>
            </w:tcBorders>
            <w:vAlign w:val="center"/>
          </w:tcPr>
          <w:p w14:paraId="6384FCD9"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ASP295ALA</w:t>
            </w:r>
          </w:p>
        </w:tc>
        <w:tc>
          <w:tcPr>
            <w:tcW w:w="0" w:type="auto"/>
            <w:tcBorders>
              <w:top w:val="single" w:sz="6" w:space="0" w:color="auto"/>
            </w:tcBorders>
            <w:vAlign w:val="center"/>
          </w:tcPr>
          <w:p w14:paraId="7FE4FB60"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op w:val="single" w:sz="6" w:space="0" w:color="auto"/>
            </w:tcBorders>
            <w:vAlign w:val="center"/>
          </w:tcPr>
          <w:p w14:paraId="0E8C9D5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direct PPI evidence in paper</w:t>
            </w:r>
          </w:p>
        </w:tc>
        <w:tc>
          <w:tcPr>
            <w:tcW w:w="0" w:type="auto"/>
            <w:tcBorders>
              <w:top w:val="single" w:sz="6" w:space="0" w:color="auto"/>
            </w:tcBorders>
            <w:vAlign w:val="center"/>
          </w:tcPr>
          <w:p w14:paraId="437C079D"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24803D8E" w14:textId="77777777">
        <w:trPr>
          <w:jc w:val="center"/>
        </w:trPr>
        <w:tc>
          <w:tcPr>
            <w:tcW w:w="0" w:type="auto"/>
            <w:tcBorders>
              <w:tl2br w:val="nil"/>
              <w:tr2bl w:val="nil"/>
            </w:tcBorders>
            <w:vAlign w:val="center"/>
          </w:tcPr>
          <w:p w14:paraId="24851E4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1WCI</w:t>
            </w:r>
          </w:p>
        </w:tc>
        <w:tc>
          <w:tcPr>
            <w:tcW w:w="0" w:type="auto"/>
            <w:tcBorders>
              <w:tl2br w:val="nil"/>
              <w:tr2bl w:val="nil"/>
            </w:tcBorders>
            <w:vAlign w:val="center"/>
          </w:tcPr>
          <w:p w14:paraId="21E81E95"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2BFB</w:t>
            </w:r>
          </w:p>
        </w:tc>
        <w:tc>
          <w:tcPr>
            <w:tcW w:w="0" w:type="auto"/>
            <w:tcBorders>
              <w:tl2br w:val="nil"/>
              <w:tr2bl w:val="nil"/>
            </w:tcBorders>
            <w:vAlign w:val="center"/>
          </w:tcPr>
          <w:p w14:paraId="60E9ECDB"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GLN112ALA</w:t>
            </w:r>
          </w:p>
        </w:tc>
        <w:tc>
          <w:tcPr>
            <w:tcW w:w="0" w:type="auto"/>
            <w:tcBorders>
              <w:tl2br w:val="nil"/>
              <w:tr2bl w:val="nil"/>
            </w:tcBorders>
            <w:vAlign w:val="center"/>
          </w:tcPr>
          <w:p w14:paraId="0930664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w:t>
            </w:r>
          </w:p>
        </w:tc>
        <w:tc>
          <w:tcPr>
            <w:tcW w:w="0" w:type="auto"/>
            <w:tcBorders>
              <w:tl2br w:val="nil"/>
              <w:tr2bl w:val="nil"/>
            </w:tcBorders>
            <w:vAlign w:val="center"/>
          </w:tcPr>
          <w:p w14:paraId="20D067AB"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PPI impact discussed</w:t>
            </w:r>
          </w:p>
        </w:tc>
        <w:tc>
          <w:tcPr>
            <w:tcW w:w="0" w:type="auto"/>
            <w:tcBorders>
              <w:tl2br w:val="nil"/>
              <w:tr2bl w:val="nil"/>
            </w:tcBorders>
            <w:vAlign w:val="center"/>
          </w:tcPr>
          <w:p w14:paraId="7625D599"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11460EBD" w14:textId="77777777">
        <w:trPr>
          <w:jc w:val="center"/>
        </w:trPr>
        <w:tc>
          <w:tcPr>
            <w:tcW w:w="0" w:type="auto"/>
            <w:tcBorders>
              <w:tl2br w:val="nil"/>
              <w:tr2bl w:val="nil"/>
            </w:tcBorders>
            <w:vAlign w:val="center"/>
          </w:tcPr>
          <w:p w14:paraId="66C6248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1WCI</w:t>
            </w:r>
          </w:p>
        </w:tc>
        <w:tc>
          <w:tcPr>
            <w:tcW w:w="0" w:type="auto"/>
            <w:tcBorders>
              <w:tl2br w:val="nil"/>
              <w:tr2bl w:val="nil"/>
            </w:tcBorders>
            <w:vAlign w:val="center"/>
          </w:tcPr>
          <w:p w14:paraId="5A738AB5"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2BFD</w:t>
            </w:r>
          </w:p>
        </w:tc>
        <w:tc>
          <w:tcPr>
            <w:tcW w:w="0" w:type="auto"/>
            <w:tcBorders>
              <w:tl2br w:val="nil"/>
              <w:tr2bl w:val="nil"/>
            </w:tcBorders>
            <w:vAlign w:val="center"/>
          </w:tcPr>
          <w:p w14:paraId="1D9D28C8"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TYR113ALA</w:t>
            </w:r>
          </w:p>
        </w:tc>
        <w:tc>
          <w:tcPr>
            <w:tcW w:w="0" w:type="auto"/>
            <w:tcBorders>
              <w:tl2br w:val="nil"/>
              <w:tr2bl w:val="nil"/>
            </w:tcBorders>
            <w:vAlign w:val="center"/>
          </w:tcPr>
          <w:p w14:paraId="3132512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w:t>
            </w:r>
          </w:p>
        </w:tc>
        <w:tc>
          <w:tcPr>
            <w:tcW w:w="0" w:type="auto"/>
            <w:tcBorders>
              <w:tl2br w:val="nil"/>
              <w:tr2bl w:val="nil"/>
            </w:tcBorders>
            <w:vAlign w:val="center"/>
          </w:tcPr>
          <w:p w14:paraId="725F3BF9"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PPI impact discussed</w:t>
            </w:r>
          </w:p>
        </w:tc>
        <w:tc>
          <w:tcPr>
            <w:tcW w:w="0" w:type="auto"/>
            <w:tcBorders>
              <w:tl2br w:val="nil"/>
              <w:tr2bl w:val="nil"/>
            </w:tcBorders>
            <w:vAlign w:val="center"/>
          </w:tcPr>
          <w:p w14:paraId="4A8CA941"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39F8F875" w14:textId="77777777">
        <w:trPr>
          <w:jc w:val="center"/>
        </w:trPr>
        <w:tc>
          <w:tcPr>
            <w:tcW w:w="0" w:type="auto"/>
            <w:tcBorders>
              <w:tl2br w:val="nil"/>
              <w:tr2bl w:val="nil"/>
            </w:tcBorders>
            <w:vAlign w:val="center"/>
          </w:tcPr>
          <w:p w14:paraId="47B0204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2GRN</w:t>
            </w:r>
          </w:p>
        </w:tc>
        <w:tc>
          <w:tcPr>
            <w:tcW w:w="0" w:type="auto"/>
            <w:tcBorders>
              <w:tl2br w:val="nil"/>
              <w:tr2bl w:val="nil"/>
            </w:tcBorders>
            <w:vAlign w:val="center"/>
          </w:tcPr>
          <w:p w14:paraId="4AD25546"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2GRO</w:t>
            </w:r>
          </w:p>
        </w:tc>
        <w:tc>
          <w:tcPr>
            <w:tcW w:w="0" w:type="auto"/>
            <w:tcBorders>
              <w:tl2br w:val="nil"/>
              <w:tr2bl w:val="nil"/>
            </w:tcBorders>
            <w:vAlign w:val="center"/>
          </w:tcPr>
          <w:p w14:paraId="021E3B58"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ASN85GLN</w:t>
            </w:r>
          </w:p>
        </w:tc>
        <w:tc>
          <w:tcPr>
            <w:tcW w:w="0" w:type="auto"/>
            <w:tcBorders>
              <w:tl2br w:val="nil"/>
              <w:tr2bl w:val="nil"/>
            </w:tcBorders>
            <w:vAlign w:val="center"/>
          </w:tcPr>
          <w:p w14:paraId="5CD75B6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4CDBA19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direct PPI evidence</w:t>
            </w:r>
          </w:p>
        </w:tc>
        <w:tc>
          <w:tcPr>
            <w:tcW w:w="0" w:type="auto"/>
            <w:tcBorders>
              <w:tl2br w:val="nil"/>
              <w:tr2bl w:val="nil"/>
            </w:tcBorders>
            <w:vAlign w:val="center"/>
          </w:tcPr>
          <w:p w14:paraId="20D22C44"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60D2168F" w14:textId="77777777">
        <w:trPr>
          <w:jc w:val="center"/>
        </w:trPr>
        <w:tc>
          <w:tcPr>
            <w:tcW w:w="0" w:type="auto"/>
            <w:tcBorders>
              <w:tl2br w:val="nil"/>
              <w:tr2bl w:val="nil"/>
            </w:tcBorders>
            <w:vAlign w:val="center"/>
          </w:tcPr>
          <w:p w14:paraId="1F606C7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2GRN</w:t>
            </w:r>
          </w:p>
        </w:tc>
        <w:tc>
          <w:tcPr>
            <w:tcW w:w="0" w:type="auto"/>
            <w:tcBorders>
              <w:tl2br w:val="nil"/>
              <w:tr2bl w:val="nil"/>
            </w:tcBorders>
            <w:vAlign w:val="center"/>
          </w:tcPr>
          <w:p w14:paraId="512E8B91"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2GRP</w:t>
            </w:r>
          </w:p>
        </w:tc>
        <w:tc>
          <w:tcPr>
            <w:tcW w:w="0" w:type="auto"/>
            <w:tcBorders>
              <w:tl2br w:val="nil"/>
              <w:tr2bl w:val="nil"/>
            </w:tcBorders>
            <w:vAlign w:val="center"/>
          </w:tcPr>
          <w:p w14:paraId="01AD0E33"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TYR87ALA</w:t>
            </w:r>
          </w:p>
        </w:tc>
        <w:tc>
          <w:tcPr>
            <w:tcW w:w="0" w:type="auto"/>
            <w:tcBorders>
              <w:tl2br w:val="nil"/>
              <w:tr2bl w:val="nil"/>
            </w:tcBorders>
            <w:vAlign w:val="center"/>
          </w:tcPr>
          <w:p w14:paraId="670669C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7C15F547"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direct PPI evidence</w:t>
            </w:r>
          </w:p>
        </w:tc>
        <w:tc>
          <w:tcPr>
            <w:tcW w:w="0" w:type="auto"/>
            <w:tcBorders>
              <w:tl2br w:val="nil"/>
              <w:tr2bl w:val="nil"/>
            </w:tcBorders>
            <w:vAlign w:val="center"/>
          </w:tcPr>
          <w:p w14:paraId="716F95C8"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6CCBE6BA" w14:textId="77777777">
        <w:trPr>
          <w:jc w:val="center"/>
        </w:trPr>
        <w:tc>
          <w:tcPr>
            <w:tcW w:w="0" w:type="auto"/>
            <w:tcBorders>
              <w:tl2br w:val="nil"/>
              <w:tr2bl w:val="nil"/>
            </w:tcBorders>
            <w:vAlign w:val="center"/>
          </w:tcPr>
          <w:p w14:paraId="76B8645B"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2GRN</w:t>
            </w:r>
          </w:p>
        </w:tc>
        <w:tc>
          <w:tcPr>
            <w:tcW w:w="0" w:type="auto"/>
            <w:tcBorders>
              <w:tl2br w:val="nil"/>
              <w:tr2bl w:val="nil"/>
            </w:tcBorders>
            <w:vAlign w:val="center"/>
          </w:tcPr>
          <w:p w14:paraId="1AEEF34B"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2GRQ</w:t>
            </w:r>
          </w:p>
        </w:tc>
        <w:tc>
          <w:tcPr>
            <w:tcW w:w="0" w:type="auto"/>
            <w:tcBorders>
              <w:tl2br w:val="nil"/>
              <w:tr2bl w:val="nil"/>
            </w:tcBorders>
            <w:vAlign w:val="center"/>
          </w:tcPr>
          <w:p w14:paraId="5BF83E04"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ASP127ALA</w:t>
            </w:r>
          </w:p>
        </w:tc>
        <w:tc>
          <w:tcPr>
            <w:tcW w:w="0" w:type="auto"/>
            <w:tcBorders>
              <w:tl2br w:val="nil"/>
              <w:tr2bl w:val="nil"/>
            </w:tcBorders>
            <w:vAlign w:val="center"/>
          </w:tcPr>
          <w:p w14:paraId="5D6FFB0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2BFDA0F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direct PPI evidence</w:t>
            </w:r>
          </w:p>
        </w:tc>
        <w:tc>
          <w:tcPr>
            <w:tcW w:w="0" w:type="auto"/>
            <w:tcBorders>
              <w:tl2br w:val="nil"/>
              <w:tr2bl w:val="nil"/>
            </w:tcBorders>
            <w:vAlign w:val="center"/>
          </w:tcPr>
          <w:p w14:paraId="3C142B3F"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3124408E" w14:textId="77777777">
        <w:trPr>
          <w:jc w:val="center"/>
        </w:trPr>
        <w:tc>
          <w:tcPr>
            <w:tcW w:w="0" w:type="auto"/>
            <w:tcBorders>
              <w:tl2br w:val="nil"/>
              <w:tr2bl w:val="nil"/>
            </w:tcBorders>
            <w:vAlign w:val="center"/>
          </w:tcPr>
          <w:p w14:paraId="655F5B6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2GRN</w:t>
            </w:r>
          </w:p>
        </w:tc>
        <w:tc>
          <w:tcPr>
            <w:tcW w:w="0" w:type="auto"/>
            <w:tcBorders>
              <w:tl2br w:val="nil"/>
              <w:tr2bl w:val="nil"/>
            </w:tcBorders>
            <w:vAlign w:val="center"/>
          </w:tcPr>
          <w:p w14:paraId="1642D670"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2GRR</w:t>
            </w:r>
          </w:p>
        </w:tc>
        <w:tc>
          <w:tcPr>
            <w:tcW w:w="0" w:type="auto"/>
            <w:tcBorders>
              <w:tl2br w:val="nil"/>
              <w:tr2bl w:val="nil"/>
            </w:tcBorders>
            <w:vAlign w:val="center"/>
          </w:tcPr>
          <w:p w14:paraId="1D2953DE"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ASP127SER</w:t>
            </w:r>
          </w:p>
        </w:tc>
        <w:tc>
          <w:tcPr>
            <w:tcW w:w="0" w:type="auto"/>
            <w:tcBorders>
              <w:tl2br w:val="nil"/>
              <w:tr2bl w:val="nil"/>
            </w:tcBorders>
            <w:vAlign w:val="center"/>
          </w:tcPr>
          <w:p w14:paraId="5583229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0" w:type="auto"/>
            <w:tcBorders>
              <w:tl2br w:val="nil"/>
              <w:tr2bl w:val="nil"/>
            </w:tcBorders>
            <w:vAlign w:val="center"/>
          </w:tcPr>
          <w:p w14:paraId="22D21A5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direct PPI evidence</w:t>
            </w:r>
          </w:p>
        </w:tc>
        <w:tc>
          <w:tcPr>
            <w:tcW w:w="0" w:type="auto"/>
            <w:tcBorders>
              <w:tl2br w:val="nil"/>
              <w:tr2bl w:val="nil"/>
            </w:tcBorders>
            <w:vAlign w:val="center"/>
          </w:tcPr>
          <w:p w14:paraId="7149A3F7"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4259EDB4" w14:textId="77777777">
        <w:trPr>
          <w:jc w:val="center"/>
        </w:trPr>
        <w:tc>
          <w:tcPr>
            <w:tcW w:w="0" w:type="auto"/>
            <w:tcBorders>
              <w:tl2br w:val="nil"/>
              <w:tr2bl w:val="nil"/>
            </w:tcBorders>
            <w:vAlign w:val="center"/>
          </w:tcPr>
          <w:p w14:paraId="56CD4AF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2XBW</w:t>
            </w:r>
          </w:p>
        </w:tc>
        <w:tc>
          <w:tcPr>
            <w:tcW w:w="0" w:type="auto"/>
            <w:tcBorders>
              <w:tl2br w:val="nil"/>
              <w:tr2bl w:val="nil"/>
            </w:tcBorders>
            <w:vAlign w:val="center"/>
          </w:tcPr>
          <w:p w14:paraId="1CC10B1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2XBV</w:t>
            </w:r>
          </w:p>
        </w:tc>
        <w:tc>
          <w:tcPr>
            <w:tcW w:w="0" w:type="auto"/>
            <w:tcBorders>
              <w:tl2br w:val="nil"/>
              <w:tr2bl w:val="nil"/>
            </w:tcBorders>
            <w:vAlign w:val="center"/>
          </w:tcPr>
          <w:p w14:paraId="34D26D4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ARG150GLU</w:t>
            </w:r>
          </w:p>
        </w:tc>
        <w:tc>
          <w:tcPr>
            <w:tcW w:w="0" w:type="auto"/>
            <w:tcBorders>
              <w:tl2br w:val="nil"/>
              <w:tr2bl w:val="nil"/>
            </w:tcBorders>
            <w:vAlign w:val="center"/>
          </w:tcPr>
          <w:p w14:paraId="07B64DE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w:t>
            </w:r>
          </w:p>
        </w:tc>
        <w:tc>
          <w:tcPr>
            <w:tcW w:w="0" w:type="auto"/>
            <w:tcBorders>
              <w:tl2br w:val="nil"/>
              <w:tr2bl w:val="nil"/>
            </w:tcBorders>
            <w:vAlign w:val="center"/>
          </w:tcPr>
          <w:p w14:paraId="77D750F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Mutation for crystallization only</w:t>
            </w:r>
          </w:p>
        </w:tc>
        <w:tc>
          <w:tcPr>
            <w:tcW w:w="0" w:type="auto"/>
            <w:tcBorders>
              <w:tl2br w:val="nil"/>
              <w:tr2bl w:val="nil"/>
            </w:tcBorders>
            <w:vAlign w:val="center"/>
          </w:tcPr>
          <w:p w14:paraId="1A4ACAF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Fabricated inference</w:t>
            </w:r>
          </w:p>
        </w:tc>
      </w:tr>
      <w:tr w:rsidR="0032071E" w14:paraId="6B2E43AC" w14:textId="77777777">
        <w:trPr>
          <w:jc w:val="center"/>
        </w:trPr>
        <w:tc>
          <w:tcPr>
            <w:tcW w:w="0" w:type="auto"/>
            <w:tcBorders>
              <w:tl2br w:val="nil"/>
              <w:tr2bl w:val="nil"/>
            </w:tcBorders>
            <w:vAlign w:val="center"/>
          </w:tcPr>
          <w:p w14:paraId="0F00E929"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3DZ2</w:t>
            </w:r>
          </w:p>
        </w:tc>
        <w:tc>
          <w:tcPr>
            <w:tcW w:w="0" w:type="auto"/>
            <w:tcBorders>
              <w:tl2br w:val="nil"/>
              <w:tr2bl w:val="nil"/>
            </w:tcBorders>
            <w:vAlign w:val="center"/>
          </w:tcPr>
          <w:p w14:paraId="30FD8A69"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3DZ3</w:t>
            </w:r>
          </w:p>
        </w:tc>
        <w:tc>
          <w:tcPr>
            <w:tcW w:w="0" w:type="auto"/>
            <w:tcBorders>
              <w:tl2br w:val="nil"/>
              <w:tr2bl w:val="nil"/>
            </w:tcBorders>
            <w:vAlign w:val="center"/>
          </w:tcPr>
          <w:p w14:paraId="09B3A0AF"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PHE223ALA</w:t>
            </w:r>
          </w:p>
        </w:tc>
        <w:tc>
          <w:tcPr>
            <w:tcW w:w="0" w:type="auto"/>
            <w:tcBorders>
              <w:tl2br w:val="nil"/>
              <w:tr2bl w:val="nil"/>
            </w:tcBorders>
            <w:vAlign w:val="center"/>
          </w:tcPr>
          <w:p w14:paraId="4B281870"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5C3E69B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Alters active site, not PPI</w:t>
            </w:r>
          </w:p>
        </w:tc>
        <w:tc>
          <w:tcPr>
            <w:tcW w:w="0" w:type="auto"/>
            <w:tcBorders>
              <w:tl2br w:val="nil"/>
              <w:tr2bl w:val="nil"/>
            </w:tcBorders>
            <w:vAlign w:val="center"/>
          </w:tcPr>
          <w:p w14:paraId="616B4476"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Misattributed effect</w:t>
            </w:r>
          </w:p>
        </w:tc>
      </w:tr>
      <w:tr w:rsidR="0032071E" w14:paraId="4E0F1802" w14:textId="77777777">
        <w:trPr>
          <w:jc w:val="center"/>
        </w:trPr>
        <w:tc>
          <w:tcPr>
            <w:tcW w:w="0" w:type="auto"/>
            <w:tcBorders>
              <w:tl2br w:val="nil"/>
              <w:tr2bl w:val="nil"/>
            </w:tcBorders>
            <w:vAlign w:val="center"/>
          </w:tcPr>
          <w:p w14:paraId="68E71165"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3EP9</w:t>
            </w:r>
          </w:p>
        </w:tc>
        <w:tc>
          <w:tcPr>
            <w:tcW w:w="0" w:type="auto"/>
            <w:tcBorders>
              <w:tl2br w:val="nil"/>
              <w:tr2bl w:val="nil"/>
            </w:tcBorders>
            <w:vAlign w:val="center"/>
          </w:tcPr>
          <w:p w14:paraId="03934FE6"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3EP3</w:t>
            </w:r>
          </w:p>
        </w:tc>
        <w:tc>
          <w:tcPr>
            <w:tcW w:w="0" w:type="auto"/>
            <w:tcBorders>
              <w:tl2br w:val="nil"/>
              <w:tr2bl w:val="nil"/>
            </w:tcBorders>
            <w:vAlign w:val="center"/>
          </w:tcPr>
          <w:p w14:paraId="456CD5DD"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ASP174ASN</w:t>
            </w:r>
          </w:p>
        </w:tc>
        <w:tc>
          <w:tcPr>
            <w:tcW w:w="0" w:type="auto"/>
            <w:tcBorders>
              <w:tl2br w:val="nil"/>
              <w:tr2bl w:val="nil"/>
            </w:tcBorders>
            <w:vAlign w:val="center"/>
          </w:tcPr>
          <w:p w14:paraId="7B5558A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1437B313"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Alters active site, not PPI</w:t>
            </w:r>
          </w:p>
        </w:tc>
        <w:tc>
          <w:tcPr>
            <w:tcW w:w="0" w:type="auto"/>
            <w:tcBorders>
              <w:tl2br w:val="nil"/>
              <w:tr2bl w:val="nil"/>
            </w:tcBorders>
            <w:vAlign w:val="center"/>
          </w:tcPr>
          <w:p w14:paraId="37DDABA8"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Misattributed effect</w:t>
            </w:r>
          </w:p>
        </w:tc>
      </w:tr>
      <w:tr w:rsidR="0032071E" w14:paraId="3296F6B5" w14:textId="77777777">
        <w:trPr>
          <w:jc w:val="center"/>
        </w:trPr>
        <w:tc>
          <w:tcPr>
            <w:tcW w:w="0" w:type="auto"/>
            <w:tcBorders>
              <w:tl2br w:val="nil"/>
              <w:tr2bl w:val="nil"/>
            </w:tcBorders>
            <w:vAlign w:val="center"/>
          </w:tcPr>
          <w:p w14:paraId="3418E59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3EP9</w:t>
            </w:r>
          </w:p>
        </w:tc>
        <w:tc>
          <w:tcPr>
            <w:tcW w:w="0" w:type="auto"/>
            <w:tcBorders>
              <w:tl2br w:val="nil"/>
              <w:tr2bl w:val="nil"/>
            </w:tcBorders>
            <w:vAlign w:val="center"/>
          </w:tcPr>
          <w:p w14:paraId="3A2D6631"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3EP4</w:t>
            </w:r>
          </w:p>
        </w:tc>
        <w:tc>
          <w:tcPr>
            <w:tcW w:w="0" w:type="auto"/>
            <w:tcBorders>
              <w:tl2br w:val="nil"/>
              <w:tr2bl w:val="nil"/>
            </w:tcBorders>
            <w:vAlign w:val="center"/>
          </w:tcPr>
          <w:p w14:paraId="7AB63B71"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GLU256GLN</w:t>
            </w:r>
          </w:p>
        </w:tc>
        <w:tc>
          <w:tcPr>
            <w:tcW w:w="0" w:type="auto"/>
            <w:tcBorders>
              <w:tl2br w:val="nil"/>
              <w:tr2bl w:val="nil"/>
            </w:tcBorders>
            <w:vAlign w:val="center"/>
          </w:tcPr>
          <w:p w14:paraId="3C134F7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4BDD6EE9"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Alters active site, not PPI</w:t>
            </w:r>
          </w:p>
        </w:tc>
        <w:tc>
          <w:tcPr>
            <w:tcW w:w="0" w:type="auto"/>
            <w:tcBorders>
              <w:tl2br w:val="nil"/>
              <w:tr2bl w:val="nil"/>
            </w:tcBorders>
            <w:vAlign w:val="center"/>
          </w:tcPr>
          <w:p w14:paraId="08F4CE3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Misattributed effect</w:t>
            </w:r>
          </w:p>
        </w:tc>
      </w:tr>
      <w:tr w:rsidR="0032071E" w14:paraId="6DD8C13C" w14:textId="77777777">
        <w:trPr>
          <w:jc w:val="center"/>
        </w:trPr>
        <w:tc>
          <w:tcPr>
            <w:tcW w:w="0" w:type="auto"/>
            <w:tcBorders>
              <w:tl2br w:val="nil"/>
              <w:tr2bl w:val="nil"/>
            </w:tcBorders>
            <w:vAlign w:val="center"/>
          </w:tcPr>
          <w:p w14:paraId="64834D7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3EP9</w:t>
            </w:r>
          </w:p>
        </w:tc>
        <w:tc>
          <w:tcPr>
            <w:tcW w:w="0" w:type="auto"/>
            <w:tcBorders>
              <w:tl2br w:val="nil"/>
              <w:tr2bl w:val="nil"/>
            </w:tcBorders>
            <w:vAlign w:val="center"/>
          </w:tcPr>
          <w:p w14:paraId="1C40255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3EP5</w:t>
            </w:r>
          </w:p>
        </w:tc>
        <w:tc>
          <w:tcPr>
            <w:tcW w:w="0" w:type="auto"/>
            <w:tcBorders>
              <w:tl2br w:val="nil"/>
              <w:tr2bl w:val="nil"/>
            </w:tcBorders>
            <w:vAlign w:val="center"/>
          </w:tcPr>
          <w:p w14:paraId="63E5B3F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GLU178GLN</w:t>
            </w:r>
          </w:p>
        </w:tc>
        <w:tc>
          <w:tcPr>
            <w:tcW w:w="0" w:type="auto"/>
            <w:tcBorders>
              <w:tl2br w:val="nil"/>
              <w:tr2bl w:val="nil"/>
            </w:tcBorders>
            <w:vAlign w:val="center"/>
          </w:tcPr>
          <w:p w14:paraId="7E36663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07FB66FB"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Alters active site, not PPI</w:t>
            </w:r>
          </w:p>
        </w:tc>
        <w:tc>
          <w:tcPr>
            <w:tcW w:w="0" w:type="auto"/>
            <w:tcBorders>
              <w:tl2br w:val="nil"/>
              <w:tr2bl w:val="nil"/>
            </w:tcBorders>
            <w:vAlign w:val="center"/>
          </w:tcPr>
          <w:p w14:paraId="52AA645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Misattributed effect</w:t>
            </w:r>
          </w:p>
        </w:tc>
      </w:tr>
      <w:tr w:rsidR="0032071E" w14:paraId="0ECA6041" w14:textId="77777777">
        <w:trPr>
          <w:jc w:val="center"/>
        </w:trPr>
        <w:tc>
          <w:tcPr>
            <w:tcW w:w="0" w:type="auto"/>
            <w:tcBorders>
              <w:tl2br w:val="nil"/>
              <w:tr2bl w:val="nil"/>
            </w:tcBorders>
            <w:vAlign w:val="center"/>
          </w:tcPr>
          <w:p w14:paraId="2F7A144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5IJ0</w:t>
            </w:r>
          </w:p>
        </w:tc>
        <w:tc>
          <w:tcPr>
            <w:tcW w:w="0" w:type="auto"/>
            <w:tcBorders>
              <w:tl2br w:val="nil"/>
              <w:tr2bl w:val="nil"/>
            </w:tcBorders>
            <w:vAlign w:val="center"/>
          </w:tcPr>
          <w:p w14:paraId="7967EC6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5IJ9</w:t>
            </w:r>
          </w:p>
        </w:tc>
        <w:tc>
          <w:tcPr>
            <w:tcW w:w="0" w:type="auto"/>
            <w:tcBorders>
              <w:tl2br w:val="nil"/>
              <w:tr2bl w:val="nil"/>
            </w:tcBorders>
            <w:vAlign w:val="center"/>
          </w:tcPr>
          <w:p w14:paraId="22E46596"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ASP417HIS</w:t>
            </w:r>
          </w:p>
        </w:tc>
        <w:tc>
          <w:tcPr>
            <w:tcW w:w="0" w:type="auto"/>
            <w:tcBorders>
              <w:tl2br w:val="nil"/>
              <w:tr2bl w:val="nil"/>
            </w:tcBorders>
            <w:vAlign w:val="center"/>
          </w:tcPr>
          <w:p w14:paraId="2F19FA3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12A1F2B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binding constant for tubulin-tubulin interface</w:t>
            </w:r>
          </w:p>
        </w:tc>
        <w:tc>
          <w:tcPr>
            <w:tcW w:w="0" w:type="auto"/>
            <w:tcBorders>
              <w:tl2br w:val="nil"/>
              <w:tr2bl w:val="nil"/>
            </w:tcBorders>
            <w:vAlign w:val="center"/>
          </w:tcPr>
          <w:p w14:paraId="69E845CB"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287404FF" w14:textId="77777777">
        <w:trPr>
          <w:jc w:val="center"/>
        </w:trPr>
        <w:tc>
          <w:tcPr>
            <w:tcW w:w="0" w:type="auto"/>
            <w:tcBorders>
              <w:tl2br w:val="nil"/>
              <w:tr2bl w:val="nil"/>
            </w:tcBorders>
            <w:vAlign w:val="center"/>
          </w:tcPr>
          <w:p w14:paraId="04DB597C"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6X5J</w:t>
            </w:r>
          </w:p>
        </w:tc>
        <w:tc>
          <w:tcPr>
            <w:tcW w:w="0" w:type="auto"/>
            <w:tcBorders>
              <w:tl2br w:val="nil"/>
              <w:tr2bl w:val="nil"/>
            </w:tcBorders>
            <w:vAlign w:val="center"/>
          </w:tcPr>
          <w:p w14:paraId="6E04A28A"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6X5P</w:t>
            </w:r>
          </w:p>
        </w:tc>
        <w:tc>
          <w:tcPr>
            <w:tcW w:w="0" w:type="auto"/>
            <w:tcBorders>
              <w:tl2br w:val="nil"/>
              <w:tr2bl w:val="nil"/>
            </w:tcBorders>
            <w:vAlign w:val="center"/>
          </w:tcPr>
          <w:p w14:paraId="42DC86B0"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ARG153ALA</w:t>
            </w:r>
          </w:p>
        </w:tc>
        <w:tc>
          <w:tcPr>
            <w:tcW w:w="0" w:type="auto"/>
            <w:tcBorders>
              <w:tl2br w:val="nil"/>
              <w:tr2bl w:val="nil"/>
            </w:tcBorders>
            <w:vAlign w:val="center"/>
          </w:tcPr>
          <w:p w14:paraId="2127DFD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w:t>
            </w:r>
          </w:p>
        </w:tc>
        <w:tc>
          <w:tcPr>
            <w:tcW w:w="0" w:type="auto"/>
            <w:tcBorders>
              <w:tl2br w:val="nil"/>
              <w:tr2bl w:val="nil"/>
            </w:tcBorders>
            <w:vAlign w:val="center"/>
          </w:tcPr>
          <w:p w14:paraId="11C2DCAD"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PPI data provided</w:t>
            </w:r>
          </w:p>
        </w:tc>
        <w:tc>
          <w:tcPr>
            <w:tcW w:w="0" w:type="auto"/>
            <w:tcBorders>
              <w:tl2br w:val="nil"/>
              <w:tr2bl w:val="nil"/>
            </w:tcBorders>
            <w:vAlign w:val="center"/>
          </w:tcPr>
          <w:p w14:paraId="7B989AB5"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745E3651" w14:textId="77777777">
        <w:trPr>
          <w:trHeight w:val="90"/>
          <w:jc w:val="center"/>
        </w:trPr>
        <w:tc>
          <w:tcPr>
            <w:tcW w:w="0" w:type="auto"/>
            <w:tcBorders>
              <w:tl2br w:val="nil"/>
              <w:tr2bl w:val="nil"/>
            </w:tcBorders>
            <w:vAlign w:val="center"/>
          </w:tcPr>
          <w:p w14:paraId="05F06C34"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6XHB</w:t>
            </w:r>
          </w:p>
        </w:tc>
        <w:tc>
          <w:tcPr>
            <w:tcW w:w="0" w:type="auto"/>
            <w:tcBorders>
              <w:tl2br w:val="nil"/>
              <w:tr2bl w:val="nil"/>
            </w:tcBorders>
            <w:vAlign w:val="center"/>
          </w:tcPr>
          <w:p w14:paraId="7373B7E4"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6XI7</w:t>
            </w:r>
          </w:p>
        </w:tc>
        <w:tc>
          <w:tcPr>
            <w:tcW w:w="0" w:type="auto"/>
            <w:tcBorders>
              <w:tl2br w:val="nil"/>
              <w:tr2bl w:val="nil"/>
            </w:tcBorders>
            <w:vAlign w:val="center"/>
          </w:tcPr>
          <w:p w14:paraId="39629E17"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CYS118SER</w:t>
            </w:r>
          </w:p>
        </w:tc>
        <w:tc>
          <w:tcPr>
            <w:tcW w:w="0" w:type="auto"/>
            <w:tcBorders>
              <w:tl2br w:val="nil"/>
              <w:tr2bl w:val="nil"/>
            </w:tcBorders>
            <w:vAlign w:val="center"/>
          </w:tcPr>
          <w:p w14:paraId="1757A05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0" w:type="auto"/>
            <w:tcBorders>
              <w:tl2br w:val="nil"/>
              <w:tr2bl w:val="nil"/>
            </w:tcBorders>
            <w:vAlign w:val="center"/>
          </w:tcPr>
          <w:p w14:paraId="17AFD89E"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direct PPI evidence</w:t>
            </w:r>
          </w:p>
        </w:tc>
        <w:tc>
          <w:tcPr>
            <w:tcW w:w="0" w:type="auto"/>
            <w:tcBorders>
              <w:tl2br w:val="nil"/>
              <w:tr2bl w:val="nil"/>
            </w:tcBorders>
            <w:vAlign w:val="center"/>
          </w:tcPr>
          <w:p w14:paraId="5015EE27"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r w:rsidR="0032071E" w14:paraId="101A5ADE" w14:textId="77777777">
        <w:trPr>
          <w:jc w:val="center"/>
        </w:trPr>
        <w:tc>
          <w:tcPr>
            <w:tcW w:w="0" w:type="auto"/>
            <w:tcBorders>
              <w:tl2br w:val="nil"/>
              <w:tr2bl w:val="nil"/>
            </w:tcBorders>
            <w:vAlign w:val="center"/>
          </w:tcPr>
          <w:p w14:paraId="5D56ADB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8ROJ</w:t>
            </w:r>
          </w:p>
        </w:tc>
        <w:tc>
          <w:tcPr>
            <w:tcW w:w="0" w:type="auto"/>
            <w:tcBorders>
              <w:tl2br w:val="nil"/>
              <w:tr2bl w:val="nil"/>
            </w:tcBorders>
            <w:vAlign w:val="center"/>
          </w:tcPr>
          <w:p w14:paraId="615271A2"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8ROI</w:t>
            </w:r>
          </w:p>
        </w:tc>
        <w:tc>
          <w:tcPr>
            <w:tcW w:w="0" w:type="auto"/>
            <w:tcBorders>
              <w:tl2br w:val="nil"/>
              <w:tr2bl w:val="nil"/>
            </w:tcBorders>
            <w:vAlign w:val="center"/>
          </w:tcPr>
          <w:p w14:paraId="32DE4A3D"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GLU1144GLN</w:t>
            </w:r>
          </w:p>
        </w:tc>
        <w:tc>
          <w:tcPr>
            <w:tcW w:w="0" w:type="auto"/>
            <w:tcBorders>
              <w:tl2br w:val="nil"/>
              <w:tr2bl w:val="nil"/>
            </w:tcBorders>
            <w:vAlign w:val="center"/>
          </w:tcPr>
          <w:p w14:paraId="14D2DFB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w:t>
            </w:r>
          </w:p>
        </w:tc>
        <w:tc>
          <w:tcPr>
            <w:tcW w:w="0" w:type="auto"/>
            <w:tcBorders>
              <w:tl2br w:val="nil"/>
              <w:tr2bl w:val="nil"/>
            </w:tcBorders>
            <w:vAlign w:val="center"/>
          </w:tcPr>
          <w:p w14:paraId="78DCB230"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No PPI evidence provided</w:t>
            </w:r>
          </w:p>
        </w:tc>
        <w:tc>
          <w:tcPr>
            <w:tcW w:w="0" w:type="auto"/>
            <w:tcBorders>
              <w:tl2br w:val="nil"/>
              <w:tr2bl w:val="nil"/>
            </w:tcBorders>
            <w:vAlign w:val="center"/>
          </w:tcPr>
          <w:p w14:paraId="45ACC550" w14:textId="77777777" w:rsidR="0032071E" w:rsidRDefault="00000000">
            <w:pPr>
              <w:widowControl/>
              <w:snapToGrid w:val="0"/>
              <w:jc w:val="center"/>
              <w:textAlignment w:val="center"/>
              <w:rPr>
                <w:rFonts w:ascii="Times New Roman" w:eastAsia="宋体" w:hAnsi="Times New Roman" w:cs="Times New Roman"/>
                <w:sz w:val="18"/>
                <w:szCs w:val="20"/>
              </w:rPr>
            </w:pPr>
            <w:r>
              <w:rPr>
                <w:rFonts w:ascii="Times New Roman" w:eastAsia="宋体" w:hAnsi="Times New Roman" w:cs="Times New Roman"/>
                <w:color w:val="000000"/>
                <w:kern w:val="0"/>
                <w:sz w:val="18"/>
                <w:szCs w:val="18"/>
                <w:lang w:bidi="ar"/>
              </w:rPr>
              <w:t>Lack of support</w:t>
            </w:r>
          </w:p>
        </w:tc>
      </w:tr>
    </w:tbl>
    <w:p w14:paraId="5E1CB117" w14:textId="77777777" w:rsidR="0032071E" w:rsidRDefault="0032071E">
      <w:pPr>
        <w:rPr>
          <w:rFonts w:ascii="Times New Roman" w:hAnsi="Times New Roman" w:cs="Times New Roman"/>
          <w:sz w:val="24"/>
          <w:szCs w:val="24"/>
        </w:rPr>
      </w:pPr>
    </w:p>
    <w:p w14:paraId="0DC2B346"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Table A2.1 catalogs 16 instances where PIPA's classifications lacked direct experimental support. The primary error was a Lack of Supporting Evidence (12 cases), where the original publications did not discuss or provide data on PPI changes. In 4 cases, PIPA Misattributed effects on catalytic activity or ligand binding (active site alterations) to PPI changes. One case involved a Fabricated Inference, where a mutation introduced for crystallization purposes was incorrectly assigned a PPI effect. This highlights a tendency to generate unsupported conclusions.</w:t>
      </w:r>
    </w:p>
    <w:p w14:paraId="016437D6" w14:textId="77777777" w:rsidR="0032071E" w:rsidRDefault="0032071E">
      <w:pPr>
        <w:rPr>
          <w:rFonts w:ascii="Times New Roman" w:hAnsi="Times New Roman" w:cs="Times New Roman"/>
          <w:sz w:val="24"/>
          <w:szCs w:val="24"/>
        </w:rPr>
      </w:pPr>
    </w:p>
    <w:p w14:paraId="7CBEB114" w14:textId="77777777" w:rsidR="0032071E" w:rsidRDefault="00000000">
      <w:pPr>
        <w:jc w:val="center"/>
        <w:rPr>
          <w:rFonts w:ascii="Times New Roman" w:hAnsi="Times New Roman" w:cs="Times New Roman"/>
          <w:sz w:val="24"/>
          <w:szCs w:val="24"/>
        </w:rPr>
      </w:pPr>
      <w:r>
        <w:rPr>
          <w:rFonts w:ascii="Times New Roman" w:hAnsi="Times New Roman" w:cs="Times New Roman" w:hint="eastAsia"/>
          <w:sz w:val="24"/>
          <w:szCs w:val="24"/>
        </w:rPr>
        <w:t>Table A2.2: Misinterpreting Evidence and Functional Context</w:t>
      </w:r>
    </w:p>
    <w:p w14:paraId="3A9C5024" w14:textId="77777777" w:rsidR="0032071E" w:rsidRDefault="0032071E">
      <w:pPr>
        <w:rPr>
          <w:rFonts w:ascii="Times New Roman" w:eastAsia="等线" w:hAnsi="Times New Roman" w:cs="Times New Roman"/>
          <w:sz w:val="24"/>
          <w:szCs w:val="24"/>
        </w:rPr>
      </w:pPr>
    </w:p>
    <w:tbl>
      <w:tblPr>
        <w:tblStyle w:val="ac"/>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CellMar>
          <w:top w:w="32" w:type="dxa"/>
          <w:left w:w="64" w:type="dxa"/>
          <w:bottom w:w="32" w:type="dxa"/>
          <w:right w:w="64" w:type="dxa"/>
        </w:tblCellMar>
        <w:tblLook w:val="04A0" w:firstRow="1" w:lastRow="0" w:firstColumn="1" w:lastColumn="0" w:noHBand="0" w:noVBand="1"/>
      </w:tblPr>
      <w:tblGrid>
        <w:gridCol w:w="795"/>
        <w:gridCol w:w="902"/>
        <w:gridCol w:w="1159"/>
        <w:gridCol w:w="1128"/>
        <w:gridCol w:w="2852"/>
        <w:gridCol w:w="1470"/>
      </w:tblGrid>
      <w:tr w:rsidR="0032071E" w14:paraId="40D72C45" w14:textId="77777777">
        <w:trPr>
          <w:tblHeader/>
          <w:jc w:val="center"/>
        </w:trPr>
        <w:tc>
          <w:tcPr>
            <w:tcW w:w="0" w:type="auto"/>
            <w:tcBorders>
              <w:bottom w:val="single" w:sz="6" w:space="0" w:color="auto"/>
            </w:tcBorders>
            <w:vAlign w:val="center"/>
          </w:tcPr>
          <w:p w14:paraId="19BB4E78"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WT_PDB</w:t>
            </w:r>
          </w:p>
        </w:tc>
        <w:tc>
          <w:tcPr>
            <w:tcW w:w="0" w:type="auto"/>
            <w:tcBorders>
              <w:bottom w:val="single" w:sz="6" w:space="0" w:color="auto"/>
            </w:tcBorders>
            <w:vAlign w:val="center"/>
          </w:tcPr>
          <w:p w14:paraId="41BE1FD2"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MUT_PDB</w:t>
            </w:r>
          </w:p>
        </w:tc>
        <w:tc>
          <w:tcPr>
            <w:tcW w:w="0" w:type="auto"/>
            <w:tcBorders>
              <w:bottom w:val="single" w:sz="6" w:space="0" w:color="auto"/>
            </w:tcBorders>
            <w:vAlign w:val="center"/>
          </w:tcPr>
          <w:p w14:paraId="35D7870B"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Mutation</w:t>
            </w:r>
          </w:p>
        </w:tc>
        <w:tc>
          <w:tcPr>
            <w:tcW w:w="0" w:type="auto"/>
            <w:tcBorders>
              <w:bottom w:val="single" w:sz="6" w:space="0" w:color="auto"/>
            </w:tcBorders>
            <w:vAlign w:val="center"/>
          </w:tcPr>
          <w:p w14:paraId="28647CFA"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PIPA_Class</w:t>
            </w:r>
          </w:p>
        </w:tc>
        <w:tc>
          <w:tcPr>
            <w:tcW w:w="0" w:type="auto"/>
            <w:tcBorders>
              <w:bottom w:val="single" w:sz="6" w:space="0" w:color="auto"/>
            </w:tcBorders>
            <w:vAlign w:val="center"/>
          </w:tcPr>
          <w:p w14:paraId="321B3D57"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Researcher_Note</w:t>
            </w:r>
          </w:p>
        </w:tc>
        <w:tc>
          <w:tcPr>
            <w:tcW w:w="0" w:type="auto"/>
            <w:tcBorders>
              <w:bottom w:val="single" w:sz="6" w:space="0" w:color="auto"/>
            </w:tcBorders>
            <w:vAlign w:val="center"/>
          </w:tcPr>
          <w:p w14:paraId="5A0D0720"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Discrepancy Type</w:t>
            </w:r>
          </w:p>
        </w:tc>
      </w:tr>
      <w:tr w:rsidR="0032071E" w14:paraId="729E0C79" w14:textId="77777777">
        <w:trPr>
          <w:jc w:val="center"/>
        </w:trPr>
        <w:tc>
          <w:tcPr>
            <w:tcW w:w="0" w:type="auto"/>
            <w:tcBorders>
              <w:tl2br w:val="nil"/>
              <w:tr2bl w:val="nil"/>
            </w:tcBorders>
            <w:vAlign w:val="center"/>
          </w:tcPr>
          <w:p w14:paraId="19CA1E2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1U5B</w:t>
            </w:r>
          </w:p>
        </w:tc>
        <w:tc>
          <w:tcPr>
            <w:tcW w:w="0" w:type="auto"/>
            <w:tcBorders>
              <w:tl2br w:val="nil"/>
              <w:tr2bl w:val="nil"/>
            </w:tcBorders>
            <w:vAlign w:val="center"/>
          </w:tcPr>
          <w:p w14:paraId="79F34B6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1X7W</w:t>
            </w:r>
          </w:p>
        </w:tc>
        <w:tc>
          <w:tcPr>
            <w:tcW w:w="0" w:type="auto"/>
            <w:tcBorders>
              <w:tl2br w:val="nil"/>
              <w:tr2bl w:val="nil"/>
            </w:tcBorders>
            <w:vAlign w:val="center"/>
          </w:tcPr>
          <w:p w14:paraId="05A19A93"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SER292GLN</w:t>
            </w:r>
          </w:p>
        </w:tc>
        <w:tc>
          <w:tcPr>
            <w:tcW w:w="999" w:type="dxa"/>
            <w:tcBorders>
              <w:tl2br w:val="nil"/>
              <w:tr2bl w:val="nil"/>
            </w:tcBorders>
            <w:vAlign w:val="center"/>
          </w:tcPr>
          <w:p w14:paraId="23B3A430"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3DAE946A"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Classified based on E1b-E2b interface, not internal E1b effect</w:t>
            </w:r>
          </w:p>
        </w:tc>
        <w:tc>
          <w:tcPr>
            <w:tcW w:w="0" w:type="auto"/>
            <w:tcBorders>
              <w:tl2br w:val="nil"/>
              <w:tr2bl w:val="nil"/>
            </w:tcBorders>
            <w:vAlign w:val="center"/>
          </w:tcPr>
          <w:p w14:paraId="6D806B3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Context error</w:t>
            </w:r>
          </w:p>
        </w:tc>
      </w:tr>
      <w:tr w:rsidR="0032071E" w14:paraId="7E6F1E34" w14:textId="77777777">
        <w:trPr>
          <w:jc w:val="center"/>
        </w:trPr>
        <w:tc>
          <w:tcPr>
            <w:tcW w:w="0" w:type="auto"/>
            <w:tcBorders>
              <w:tl2br w:val="nil"/>
              <w:tr2bl w:val="nil"/>
            </w:tcBorders>
            <w:vAlign w:val="center"/>
          </w:tcPr>
          <w:p w14:paraId="3451629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1U5B</w:t>
            </w:r>
          </w:p>
        </w:tc>
        <w:tc>
          <w:tcPr>
            <w:tcW w:w="0" w:type="auto"/>
            <w:tcBorders>
              <w:tl2br w:val="nil"/>
              <w:tr2bl w:val="nil"/>
            </w:tcBorders>
            <w:vAlign w:val="center"/>
          </w:tcPr>
          <w:p w14:paraId="313FEC3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1X7X</w:t>
            </w:r>
          </w:p>
        </w:tc>
        <w:tc>
          <w:tcPr>
            <w:tcW w:w="0" w:type="auto"/>
            <w:tcBorders>
              <w:tl2br w:val="nil"/>
              <w:tr2bl w:val="nil"/>
            </w:tcBorders>
            <w:vAlign w:val="center"/>
          </w:tcPr>
          <w:p w14:paraId="7C56882B"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SER292GLU</w:t>
            </w:r>
          </w:p>
        </w:tc>
        <w:tc>
          <w:tcPr>
            <w:tcW w:w="999" w:type="dxa"/>
            <w:tcBorders>
              <w:tl2br w:val="nil"/>
              <w:tr2bl w:val="nil"/>
            </w:tcBorders>
            <w:vAlign w:val="center"/>
          </w:tcPr>
          <w:p w14:paraId="1EB2D9A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4E5585A8"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Same as above</w:t>
            </w:r>
          </w:p>
        </w:tc>
        <w:tc>
          <w:tcPr>
            <w:tcW w:w="0" w:type="auto"/>
            <w:tcBorders>
              <w:tl2br w:val="nil"/>
              <w:tr2bl w:val="nil"/>
            </w:tcBorders>
            <w:vAlign w:val="center"/>
          </w:tcPr>
          <w:p w14:paraId="41F566A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Context error</w:t>
            </w:r>
          </w:p>
        </w:tc>
      </w:tr>
      <w:tr w:rsidR="0032071E" w14:paraId="494B8BA8" w14:textId="77777777">
        <w:trPr>
          <w:jc w:val="center"/>
        </w:trPr>
        <w:tc>
          <w:tcPr>
            <w:tcW w:w="0" w:type="auto"/>
            <w:tcBorders>
              <w:tl2br w:val="nil"/>
              <w:tr2bl w:val="nil"/>
            </w:tcBorders>
            <w:vAlign w:val="center"/>
          </w:tcPr>
          <w:p w14:paraId="07E6AA6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1U5B</w:t>
            </w:r>
          </w:p>
        </w:tc>
        <w:tc>
          <w:tcPr>
            <w:tcW w:w="0" w:type="auto"/>
            <w:tcBorders>
              <w:tl2br w:val="nil"/>
              <w:tr2bl w:val="nil"/>
            </w:tcBorders>
            <w:vAlign w:val="center"/>
          </w:tcPr>
          <w:p w14:paraId="3724E30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1X7Y</w:t>
            </w:r>
          </w:p>
        </w:tc>
        <w:tc>
          <w:tcPr>
            <w:tcW w:w="0" w:type="auto"/>
            <w:tcBorders>
              <w:tl2br w:val="nil"/>
              <w:tr2bl w:val="nil"/>
            </w:tcBorders>
            <w:vAlign w:val="center"/>
          </w:tcPr>
          <w:p w14:paraId="1D27403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SER292ASN</w:t>
            </w:r>
          </w:p>
        </w:tc>
        <w:tc>
          <w:tcPr>
            <w:tcW w:w="999" w:type="dxa"/>
            <w:tcBorders>
              <w:tl2br w:val="nil"/>
              <w:tr2bl w:val="nil"/>
            </w:tcBorders>
            <w:vAlign w:val="center"/>
          </w:tcPr>
          <w:p w14:paraId="05D662C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0" w:type="auto"/>
            <w:tcBorders>
              <w:tl2br w:val="nil"/>
              <w:tr2bl w:val="nil"/>
            </w:tcBorders>
            <w:vAlign w:val="center"/>
          </w:tcPr>
          <w:p w14:paraId="0C994BD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Same as above</w:t>
            </w:r>
          </w:p>
        </w:tc>
        <w:tc>
          <w:tcPr>
            <w:tcW w:w="0" w:type="auto"/>
            <w:tcBorders>
              <w:tl2br w:val="nil"/>
              <w:tr2bl w:val="nil"/>
            </w:tcBorders>
            <w:vAlign w:val="center"/>
          </w:tcPr>
          <w:p w14:paraId="6FFFF449"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Context error</w:t>
            </w:r>
          </w:p>
        </w:tc>
      </w:tr>
      <w:tr w:rsidR="0032071E" w14:paraId="368AEAEF" w14:textId="77777777">
        <w:trPr>
          <w:jc w:val="center"/>
        </w:trPr>
        <w:tc>
          <w:tcPr>
            <w:tcW w:w="0" w:type="auto"/>
            <w:tcBorders>
              <w:tl2br w:val="nil"/>
              <w:tr2bl w:val="nil"/>
            </w:tcBorders>
            <w:vAlign w:val="center"/>
          </w:tcPr>
          <w:p w14:paraId="72397EA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1U5B</w:t>
            </w:r>
          </w:p>
        </w:tc>
        <w:tc>
          <w:tcPr>
            <w:tcW w:w="0" w:type="auto"/>
            <w:tcBorders>
              <w:tl2br w:val="nil"/>
              <w:tr2bl w:val="nil"/>
            </w:tcBorders>
            <w:vAlign w:val="center"/>
          </w:tcPr>
          <w:p w14:paraId="22BD9A1A"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1X7Z</w:t>
            </w:r>
          </w:p>
        </w:tc>
        <w:tc>
          <w:tcPr>
            <w:tcW w:w="0" w:type="auto"/>
            <w:tcBorders>
              <w:tl2br w:val="nil"/>
              <w:tr2bl w:val="nil"/>
            </w:tcBorders>
            <w:vAlign w:val="center"/>
          </w:tcPr>
          <w:p w14:paraId="5ECD969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SER292ASP</w:t>
            </w:r>
          </w:p>
        </w:tc>
        <w:tc>
          <w:tcPr>
            <w:tcW w:w="999" w:type="dxa"/>
            <w:tcBorders>
              <w:tl2br w:val="nil"/>
              <w:tr2bl w:val="nil"/>
            </w:tcBorders>
            <w:vAlign w:val="center"/>
          </w:tcPr>
          <w:p w14:paraId="1017BD3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79C3631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Same as above</w:t>
            </w:r>
          </w:p>
        </w:tc>
        <w:tc>
          <w:tcPr>
            <w:tcW w:w="0" w:type="auto"/>
            <w:tcBorders>
              <w:tl2br w:val="nil"/>
              <w:tr2bl w:val="nil"/>
            </w:tcBorders>
            <w:vAlign w:val="center"/>
          </w:tcPr>
          <w:p w14:paraId="57BE31D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Context error</w:t>
            </w:r>
          </w:p>
        </w:tc>
      </w:tr>
      <w:tr w:rsidR="0032071E" w14:paraId="52ED38F4" w14:textId="77777777">
        <w:trPr>
          <w:jc w:val="center"/>
        </w:trPr>
        <w:tc>
          <w:tcPr>
            <w:tcW w:w="0" w:type="auto"/>
            <w:tcBorders>
              <w:tl2br w:val="nil"/>
              <w:tr2bl w:val="nil"/>
            </w:tcBorders>
            <w:vAlign w:val="center"/>
          </w:tcPr>
          <w:p w14:paraId="0A63A6E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1WCI</w:t>
            </w:r>
          </w:p>
        </w:tc>
        <w:tc>
          <w:tcPr>
            <w:tcW w:w="0" w:type="auto"/>
            <w:tcBorders>
              <w:tl2br w:val="nil"/>
              <w:tr2bl w:val="nil"/>
            </w:tcBorders>
            <w:vAlign w:val="center"/>
          </w:tcPr>
          <w:p w14:paraId="2C06716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2BFC</w:t>
            </w:r>
          </w:p>
        </w:tc>
        <w:tc>
          <w:tcPr>
            <w:tcW w:w="0" w:type="auto"/>
            <w:tcBorders>
              <w:tl2br w:val="nil"/>
              <w:tr2bl w:val="nil"/>
            </w:tcBorders>
            <w:vAlign w:val="center"/>
          </w:tcPr>
          <w:p w14:paraId="0E38C6C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TYR113PHE</w:t>
            </w:r>
          </w:p>
        </w:tc>
        <w:tc>
          <w:tcPr>
            <w:tcW w:w="999" w:type="dxa"/>
            <w:tcBorders>
              <w:tl2br w:val="nil"/>
              <w:tr2bl w:val="nil"/>
            </w:tcBorders>
            <w:vAlign w:val="center"/>
          </w:tcPr>
          <w:p w14:paraId="332E4B4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Neomorphic</w:t>
            </w:r>
          </w:p>
        </w:tc>
        <w:tc>
          <w:tcPr>
            <w:tcW w:w="0" w:type="auto"/>
            <w:tcBorders>
              <w:tl2br w:val="nil"/>
              <w:tr2bl w:val="nil"/>
            </w:tcBorders>
            <w:vAlign w:val="center"/>
          </w:tcPr>
          <w:p w14:paraId="120BE41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No significant effect on substrate/LBD affinity; not neo</w:t>
            </w:r>
          </w:p>
        </w:tc>
        <w:tc>
          <w:tcPr>
            <w:tcW w:w="0" w:type="auto"/>
            <w:tcBorders>
              <w:tl2br w:val="nil"/>
              <w:tr2bl w:val="nil"/>
            </w:tcBorders>
            <w:vAlign w:val="center"/>
          </w:tcPr>
          <w:p w14:paraId="6D39869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Overinterpretation</w:t>
            </w:r>
          </w:p>
        </w:tc>
      </w:tr>
      <w:tr w:rsidR="0032071E" w14:paraId="3C0E68B6" w14:textId="77777777">
        <w:trPr>
          <w:jc w:val="center"/>
        </w:trPr>
        <w:tc>
          <w:tcPr>
            <w:tcW w:w="0" w:type="auto"/>
            <w:tcBorders>
              <w:tl2br w:val="nil"/>
              <w:tr2bl w:val="nil"/>
            </w:tcBorders>
            <w:vAlign w:val="center"/>
          </w:tcPr>
          <w:p w14:paraId="71AECA45"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hint="eastAsia"/>
                <w:color w:val="000000"/>
                <w:kern w:val="0"/>
                <w:sz w:val="18"/>
                <w:szCs w:val="18"/>
                <w:lang w:bidi="ar"/>
              </w:rPr>
              <w:t>s</w:t>
            </w:r>
            <w:r>
              <w:rPr>
                <w:rFonts w:ascii="Times New Roman" w:eastAsia="宋体" w:hAnsi="Times New Roman" w:cs="Times New Roman"/>
                <w:color w:val="000000"/>
                <w:kern w:val="0"/>
                <w:sz w:val="18"/>
                <w:szCs w:val="18"/>
                <w:lang w:bidi="ar"/>
              </w:rPr>
              <w:t>5D1K</w:t>
            </w:r>
          </w:p>
        </w:tc>
        <w:tc>
          <w:tcPr>
            <w:tcW w:w="0" w:type="auto"/>
            <w:tcBorders>
              <w:tl2br w:val="nil"/>
              <w:tr2bl w:val="nil"/>
            </w:tcBorders>
            <w:vAlign w:val="center"/>
          </w:tcPr>
          <w:p w14:paraId="5992ACE8"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5D1L</w:t>
            </w:r>
          </w:p>
        </w:tc>
        <w:tc>
          <w:tcPr>
            <w:tcW w:w="0" w:type="auto"/>
            <w:tcBorders>
              <w:tl2br w:val="nil"/>
              <w:tr2bl w:val="nil"/>
            </w:tcBorders>
            <w:vAlign w:val="center"/>
          </w:tcPr>
          <w:p w14:paraId="6B001339"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TYR165ALA</w:t>
            </w:r>
          </w:p>
        </w:tc>
        <w:tc>
          <w:tcPr>
            <w:tcW w:w="999" w:type="dxa"/>
            <w:tcBorders>
              <w:tl2br w:val="nil"/>
              <w:tr2bl w:val="nil"/>
            </w:tcBorders>
            <w:vAlign w:val="center"/>
          </w:tcPr>
          <w:p w14:paraId="7CEE74D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6304E46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Kd tightens; new H-bonds; should be neo</w:t>
            </w:r>
          </w:p>
        </w:tc>
        <w:tc>
          <w:tcPr>
            <w:tcW w:w="0" w:type="auto"/>
            <w:tcBorders>
              <w:tl2br w:val="nil"/>
              <w:tr2bl w:val="nil"/>
            </w:tcBorders>
            <w:vAlign w:val="center"/>
          </w:tcPr>
          <w:p w14:paraId="4DBBE35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Misclassification</w:t>
            </w:r>
          </w:p>
        </w:tc>
      </w:tr>
      <w:tr w:rsidR="0032071E" w14:paraId="7ACF3C63" w14:textId="77777777">
        <w:trPr>
          <w:jc w:val="center"/>
        </w:trPr>
        <w:tc>
          <w:tcPr>
            <w:tcW w:w="0" w:type="auto"/>
            <w:tcBorders>
              <w:tl2br w:val="nil"/>
              <w:tr2bl w:val="nil"/>
            </w:tcBorders>
            <w:vAlign w:val="center"/>
          </w:tcPr>
          <w:p w14:paraId="0FD3E69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5D1K</w:t>
            </w:r>
          </w:p>
        </w:tc>
        <w:tc>
          <w:tcPr>
            <w:tcW w:w="0" w:type="auto"/>
            <w:tcBorders>
              <w:tl2br w:val="nil"/>
              <w:tr2bl w:val="nil"/>
            </w:tcBorders>
            <w:vAlign w:val="center"/>
          </w:tcPr>
          <w:p w14:paraId="4F42B60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5D1M</w:t>
            </w:r>
          </w:p>
        </w:tc>
        <w:tc>
          <w:tcPr>
            <w:tcW w:w="0" w:type="auto"/>
            <w:tcBorders>
              <w:tl2br w:val="nil"/>
              <w:tr2bl w:val="nil"/>
            </w:tcBorders>
            <w:vAlign w:val="center"/>
          </w:tcPr>
          <w:p w14:paraId="4D4D1B3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PRO199ALA</w:t>
            </w:r>
          </w:p>
        </w:tc>
        <w:tc>
          <w:tcPr>
            <w:tcW w:w="999" w:type="dxa"/>
            <w:tcBorders>
              <w:tl2br w:val="nil"/>
              <w:tr2bl w:val="nil"/>
            </w:tcBorders>
            <w:vAlign w:val="center"/>
          </w:tcPr>
          <w:p w14:paraId="221987B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0" w:type="auto"/>
            <w:tcBorders>
              <w:tl2br w:val="nil"/>
              <w:tr2bl w:val="nil"/>
            </w:tcBorders>
            <w:vAlign w:val="center"/>
          </w:tcPr>
          <w:p w14:paraId="48791C13"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Minimal interface perturbation; should be native</w:t>
            </w:r>
          </w:p>
        </w:tc>
        <w:tc>
          <w:tcPr>
            <w:tcW w:w="0" w:type="auto"/>
            <w:tcBorders>
              <w:tl2br w:val="nil"/>
              <w:tr2bl w:val="nil"/>
            </w:tcBorders>
            <w:vAlign w:val="center"/>
          </w:tcPr>
          <w:p w14:paraId="6936EA8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Misclassification</w:t>
            </w:r>
          </w:p>
        </w:tc>
      </w:tr>
      <w:tr w:rsidR="0032071E" w14:paraId="5FF4553A" w14:textId="77777777">
        <w:trPr>
          <w:jc w:val="center"/>
        </w:trPr>
        <w:tc>
          <w:tcPr>
            <w:tcW w:w="0" w:type="auto"/>
            <w:tcBorders>
              <w:tl2br w:val="nil"/>
              <w:tr2bl w:val="nil"/>
            </w:tcBorders>
            <w:vAlign w:val="center"/>
          </w:tcPr>
          <w:p w14:paraId="7B4CA6E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5GRE</w:t>
            </w:r>
          </w:p>
        </w:tc>
        <w:tc>
          <w:tcPr>
            <w:tcW w:w="0" w:type="auto"/>
            <w:tcBorders>
              <w:tl2br w:val="nil"/>
              <w:tr2bl w:val="nil"/>
            </w:tcBorders>
            <w:vAlign w:val="center"/>
          </w:tcPr>
          <w:p w14:paraId="46AB354C"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5GRF</w:t>
            </w:r>
          </w:p>
        </w:tc>
        <w:tc>
          <w:tcPr>
            <w:tcW w:w="0" w:type="auto"/>
            <w:tcBorders>
              <w:tl2br w:val="nil"/>
              <w:tr2bl w:val="nil"/>
            </w:tcBorders>
            <w:vAlign w:val="center"/>
          </w:tcPr>
          <w:p w14:paraId="31286E9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LYS151ALA</w:t>
            </w:r>
          </w:p>
        </w:tc>
        <w:tc>
          <w:tcPr>
            <w:tcW w:w="999" w:type="dxa"/>
            <w:tcBorders>
              <w:tl2br w:val="nil"/>
              <w:tr2bl w:val="nil"/>
            </w:tcBorders>
            <w:vAlign w:val="center"/>
          </w:tcPr>
          <w:p w14:paraId="77266ED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18780B59"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Interface intact; no structural communication loss</w:t>
            </w:r>
          </w:p>
        </w:tc>
        <w:tc>
          <w:tcPr>
            <w:tcW w:w="0" w:type="auto"/>
            <w:tcBorders>
              <w:tl2br w:val="nil"/>
              <w:tr2bl w:val="nil"/>
            </w:tcBorders>
            <w:vAlign w:val="center"/>
          </w:tcPr>
          <w:p w14:paraId="505820E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Overinterpretation</w:t>
            </w:r>
          </w:p>
        </w:tc>
      </w:tr>
      <w:tr w:rsidR="0032071E" w14:paraId="02A70CFA" w14:textId="77777777">
        <w:trPr>
          <w:jc w:val="center"/>
        </w:trPr>
        <w:tc>
          <w:tcPr>
            <w:tcW w:w="0" w:type="auto"/>
            <w:tcBorders>
              <w:tl2br w:val="nil"/>
              <w:tr2bl w:val="nil"/>
            </w:tcBorders>
            <w:vAlign w:val="center"/>
          </w:tcPr>
          <w:p w14:paraId="3B767B3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6LYY</w:t>
            </w:r>
          </w:p>
        </w:tc>
        <w:tc>
          <w:tcPr>
            <w:tcW w:w="0" w:type="auto"/>
            <w:tcBorders>
              <w:tl2br w:val="nil"/>
              <w:tr2bl w:val="nil"/>
            </w:tcBorders>
            <w:vAlign w:val="center"/>
          </w:tcPr>
          <w:p w14:paraId="4B6100E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7DA5</w:t>
            </w:r>
          </w:p>
        </w:tc>
        <w:tc>
          <w:tcPr>
            <w:tcW w:w="0" w:type="auto"/>
            <w:tcBorders>
              <w:tl2br w:val="nil"/>
              <w:tr2bl w:val="nil"/>
            </w:tcBorders>
            <w:vAlign w:val="center"/>
          </w:tcPr>
          <w:p w14:paraId="636DAD8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ASP309ASN</w:t>
            </w:r>
          </w:p>
        </w:tc>
        <w:tc>
          <w:tcPr>
            <w:tcW w:w="999" w:type="dxa"/>
            <w:tcBorders>
              <w:tl2br w:val="nil"/>
              <w:tr2bl w:val="nil"/>
            </w:tcBorders>
            <w:vAlign w:val="center"/>
          </w:tcPr>
          <w:p w14:paraId="01A64885"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0" w:type="auto"/>
            <w:tcBorders>
              <w:tl2br w:val="nil"/>
              <w:tr2bl w:val="nil"/>
            </w:tcBorders>
            <w:vAlign w:val="center"/>
          </w:tcPr>
          <w:p w14:paraId="6338C63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Interface preserved; function lost due to conformational trap</w:t>
            </w:r>
          </w:p>
        </w:tc>
        <w:tc>
          <w:tcPr>
            <w:tcW w:w="0" w:type="auto"/>
            <w:tcBorders>
              <w:tl2br w:val="nil"/>
              <w:tr2bl w:val="nil"/>
            </w:tcBorders>
            <w:vAlign w:val="center"/>
          </w:tcPr>
          <w:p w14:paraId="141848A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Context error</w:t>
            </w:r>
          </w:p>
        </w:tc>
      </w:tr>
      <w:tr w:rsidR="0032071E" w14:paraId="25ACB8F6" w14:textId="77777777">
        <w:trPr>
          <w:jc w:val="center"/>
        </w:trPr>
        <w:tc>
          <w:tcPr>
            <w:tcW w:w="0" w:type="auto"/>
            <w:tcBorders>
              <w:tl2br w:val="nil"/>
              <w:tr2bl w:val="nil"/>
            </w:tcBorders>
            <w:vAlign w:val="center"/>
          </w:tcPr>
          <w:p w14:paraId="5DA9870B"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6XHB</w:t>
            </w:r>
          </w:p>
        </w:tc>
        <w:tc>
          <w:tcPr>
            <w:tcW w:w="0" w:type="auto"/>
            <w:tcBorders>
              <w:tl2br w:val="nil"/>
              <w:tr2bl w:val="nil"/>
            </w:tcBorders>
            <w:vAlign w:val="center"/>
          </w:tcPr>
          <w:p w14:paraId="4BAEA1F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6XGU</w:t>
            </w:r>
          </w:p>
        </w:tc>
        <w:tc>
          <w:tcPr>
            <w:tcW w:w="0" w:type="auto"/>
            <w:tcBorders>
              <w:tl2br w:val="nil"/>
              <w:tr2bl w:val="nil"/>
            </w:tcBorders>
            <w:vAlign w:val="center"/>
          </w:tcPr>
          <w:p w14:paraId="0589547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GLN61ARG</w:t>
            </w:r>
          </w:p>
        </w:tc>
        <w:tc>
          <w:tcPr>
            <w:tcW w:w="999" w:type="dxa"/>
            <w:tcBorders>
              <w:tl2br w:val="nil"/>
              <w:tr2bl w:val="nil"/>
            </w:tcBorders>
            <w:vAlign w:val="center"/>
          </w:tcPr>
          <w:p w14:paraId="0079D56A"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5CFCECD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Interface intact; affinity comparable to WT</w:t>
            </w:r>
          </w:p>
        </w:tc>
        <w:tc>
          <w:tcPr>
            <w:tcW w:w="0" w:type="auto"/>
            <w:tcBorders>
              <w:tl2br w:val="nil"/>
              <w:tr2bl w:val="nil"/>
            </w:tcBorders>
            <w:vAlign w:val="center"/>
          </w:tcPr>
          <w:p w14:paraId="6E17E4AD"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Overinterpretation</w:t>
            </w:r>
          </w:p>
        </w:tc>
      </w:tr>
      <w:tr w:rsidR="0032071E" w14:paraId="39EB619E" w14:textId="77777777">
        <w:trPr>
          <w:jc w:val="center"/>
        </w:trPr>
        <w:tc>
          <w:tcPr>
            <w:tcW w:w="0" w:type="auto"/>
            <w:tcBorders>
              <w:tl2br w:val="nil"/>
              <w:tr2bl w:val="nil"/>
            </w:tcBorders>
            <w:vAlign w:val="center"/>
          </w:tcPr>
          <w:p w14:paraId="6E406F6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8TS7</w:t>
            </w:r>
          </w:p>
        </w:tc>
        <w:tc>
          <w:tcPr>
            <w:tcW w:w="0" w:type="auto"/>
            <w:tcBorders>
              <w:tl2br w:val="nil"/>
              <w:tr2bl w:val="nil"/>
            </w:tcBorders>
            <w:vAlign w:val="center"/>
          </w:tcPr>
          <w:p w14:paraId="38FFECC3"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8TS8</w:t>
            </w:r>
          </w:p>
        </w:tc>
        <w:tc>
          <w:tcPr>
            <w:tcW w:w="0" w:type="auto"/>
            <w:tcBorders>
              <w:tl2br w:val="nil"/>
              <w:tr2bl w:val="nil"/>
            </w:tcBorders>
            <w:vAlign w:val="center"/>
          </w:tcPr>
          <w:p w14:paraId="4D2ABCFF"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HIS1047ARG</w:t>
            </w:r>
          </w:p>
        </w:tc>
        <w:tc>
          <w:tcPr>
            <w:tcW w:w="999" w:type="dxa"/>
            <w:tcBorders>
              <w:tl2br w:val="nil"/>
              <w:tr2bl w:val="nil"/>
            </w:tcBorders>
            <w:vAlign w:val="center"/>
          </w:tcPr>
          <w:p w14:paraId="7BA1596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0" w:type="auto"/>
            <w:tcBorders>
              <w:tl2br w:val="nil"/>
              <w:tr2bl w:val="nil"/>
            </w:tcBorders>
            <w:vAlign w:val="center"/>
          </w:tcPr>
          <w:p w14:paraId="77EFAB4B"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Weakened interface; correctly classified</w:t>
            </w:r>
          </w:p>
        </w:tc>
        <w:tc>
          <w:tcPr>
            <w:tcW w:w="0" w:type="auto"/>
            <w:tcBorders>
              <w:tl2br w:val="nil"/>
              <w:tr2bl w:val="nil"/>
            </w:tcBorders>
            <w:vAlign w:val="center"/>
          </w:tcPr>
          <w:p w14:paraId="408B4539"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Minor discrepancy</w:t>
            </w:r>
          </w:p>
        </w:tc>
      </w:tr>
    </w:tbl>
    <w:p w14:paraId="160CAFEF" w14:textId="77777777" w:rsidR="0032071E" w:rsidRDefault="0032071E">
      <w:pPr>
        <w:rPr>
          <w:rFonts w:ascii="Times New Roman" w:hAnsi="Times New Roman" w:cs="Times New Roman"/>
          <w:sz w:val="24"/>
          <w:szCs w:val="24"/>
        </w:rPr>
      </w:pPr>
    </w:p>
    <w:p w14:paraId="7FC62CE0"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Table A2.2 summarizes 11 cases where PIPA misinterpreted available evidence. A common error was Misinterpreted Context (5 cases), where PIPA applied PPI classification to mutations affecting internal protein dynamics or allostery rather than the intermolecular interface. Overinterpretation of Data occurred in 4 cases, where PIPA inferred PPI disruption from functional loss despite structural evidence showing an intact interface. There were 2 clear Misclassifications where PIPA's label contradicted biophysical evidence (e.g., tightened binding). One case was a Minor Discrepancy in wording. These errors underscore the challenge of distinguishing direct interface perturbations from indirect functional consequences.</w:t>
      </w:r>
    </w:p>
    <w:p w14:paraId="70B49165" w14:textId="77777777" w:rsidR="0032071E" w:rsidRDefault="0032071E">
      <w:pPr>
        <w:rPr>
          <w:rFonts w:ascii="Times New Roman" w:hAnsi="Times New Roman" w:cs="Times New Roman"/>
          <w:sz w:val="24"/>
          <w:szCs w:val="24"/>
        </w:rPr>
      </w:pPr>
    </w:p>
    <w:p w14:paraId="5A3AD1FE" w14:textId="77777777" w:rsidR="0032071E" w:rsidRDefault="00000000">
      <w:pPr>
        <w:numPr>
          <w:ilvl w:val="0"/>
          <w:numId w:val="2"/>
        </w:numPr>
        <w:rPr>
          <w:rFonts w:ascii="Times New Roman" w:hAnsi="Times New Roman" w:cs="Times New Roman"/>
          <w:sz w:val="24"/>
          <w:szCs w:val="24"/>
        </w:rPr>
      </w:pPr>
      <w:r>
        <w:rPr>
          <w:rFonts w:ascii="Times New Roman" w:hAnsi="Times New Roman" w:cs="Times New Roman" w:hint="eastAsia"/>
          <w:sz w:val="24"/>
          <w:szCs w:val="24"/>
        </w:rPr>
        <w:t>Correct or Consistent Prediction Cases</w:t>
      </w:r>
    </w:p>
    <w:p w14:paraId="1D96D252"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In addition to the 27 hallucination cases, we identified 5 instances where the PIPA agent made correct or consistent predictions. These cases reflect the model's accuracy in certain situations.</w:t>
      </w:r>
    </w:p>
    <w:p w14:paraId="3E0F4D7C" w14:textId="77777777" w:rsidR="0032071E" w:rsidRDefault="0032071E">
      <w:pPr>
        <w:rPr>
          <w:rFonts w:ascii="Times New Roman" w:hAnsi="Times New Roman" w:cs="Times New Roman"/>
          <w:sz w:val="24"/>
          <w:szCs w:val="24"/>
        </w:rPr>
      </w:pPr>
    </w:p>
    <w:p w14:paraId="6C1C62A3" w14:textId="77777777" w:rsidR="0032071E" w:rsidRDefault="00000000">
      <w:pPr>
        <w:jc w:val="center"/>
        <w:rPr>
          <w:rFonts w:ascii="Times New Roman" w:hAnsi="Times New Roman" w:cs="Times New Roman"/>
          <w:sz w:val="24"/>
          <w:szCs w:val="24"/>
        </w:rPr>
      </w:pPr>
      <w:r>
        <w:rPr>
          <w:rFonts w:ascii="Times New Roman" w:hAnsi="Times New Roman" w:cs="Times New Roman" w:hint="eastAsia"/>
          <w:sz w:val="24"/>
          <w:szCs w:val="24"/>
        </w:rPr>
        <w:t>Table A2.3: Correct or Consistent Predictions</w:t>
      </w:r>
    </w:p>
    <w:p w14:paraId="18010A31" w14:textId="77777777" w:rsidR="0032071E" w:rsidRDefault="0032071E">
      <w:pPr>
        <w:rPr>
          <w:rFonts w:ascii="Times New Roman" w:eastAsia="等线" w:hAnsi="Times New Roman" w:cs="Times New Roman"/>
          <w:sz w:val="24"/>
          <w:szCs w:val="24"/>
        </w:rPr>
      </w:pPr>
    </w:p>
    <w:tbl>
      <w:tblPr>
        <w:tblStyle w:val="ac"/>
        <w:tblW w:w="0" w:type="auto"/>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CellMar>
          <w:top w:w="32" w:type="dxa"/>
          <w:left w:w="64" w:type="dxa"/>
          <w:bottom w:w="32" w:type="dxa"/>
          <w:right w:w="64" w:type="dxa"/>
        </w:tblCellMar>
        <w:tblLook w:val="04A0" w:firstRow="1" w:lastRow="0" w:firstColumn="1" w:lastColumn="0" w:noHBand="0" w:noVBand="1"/>
      </w:tblPr>
      <w:tblGrid>
        <w:gridCol w:w="795"/>
        <w:gridCol w:w="902"/>
        <w:gridCol w:w="1154"/>
        <w:gridCol w:w="1128"/>
        <w:gridCol w:w="2877"/>
        <w:gridCol w:w="1450"/>
      </w:tblGrid>
      <w:tr w:rsidR="0032071E" w14:paraId="4A6AC459" w14:textId="77777777">
        <w:trPr>
          <w:tblHeader/>
          <w:jc w:val="center"/>
        </w:trPr>
        <w:tc>
          <w:tcPr>
            <w:tcW w:w="0" w:type="auto"/>
            <w:tcBorders>
              <w:bottom w:val="single" w:sz="6" w:space="0" w:color="auto"/>
            </w:tcBorders>
            <w:vAlign w:val="center"/>
          </w:tcPr>
          <w:p w14:paraId="7AF0C0C1"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lastRenderedPageBreak/>
              <w:t>WT_PDB</w:t>
            </w:r>
          </w:p>
        </w:tc>
        <w:tc>
          <w:tcPr>
            <w:tcW w:w="0" w:type="auto"/>
            <w:tcBorders>
              <w:bottom w:val="single" w:sz="6" w:space="0" w:color="auto"/>
            </w:tcBorders>
            <w:vAlign w:val="center"/>
          </w:tcPr>
          <w:p w14:paraId="011FACD8"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MUT_PDB</w:t>
            </w:r>
          </w:p>
        </w:tc>
        <w:tc>
          <w:tcPr>
            <w:tcW w:w="0" w:type="auto"/>
            <w:tcBorders>
              <w:bottom w:val="single" w:sz="6" w:space="0" w:color="auto"/>
            </w:tcBorders>
            <w:vAlign w:val="center"/>
          </w:tcPr>
          <w:p w14:paraId="37369058"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Mutation</w:t>
            </w:r>
          </w:p>
        </w:tc>
        <w:tc>
          <w:tcPr>
            <w:tcW w:w="0" w:type="auto"/>
            <w:tcBorders>
              <w:bottom w:val="single" w:sz="6" w:space="0" w:color="auto"/>
            </w:tcBorders>
            <w:vAlign w:val="center"/>
          </w:tcPr>
          <w:p w14:paraId="434C4A73"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PIPA_Class</w:t>
            </w:r>
          </w:p>
        </w:tc>
        <w:tc>
          <w:tcPr>
            <w:tcW w:w="0" w:type="auto"/>
            <w:tcBorders>
              <w:bottom w:val="single" w:sz="6" w:space="0" w:color="auto"/>
            </w:tcBorders>
            <w:vAlign w:val="center"/>
          </w:tcPr>
          <w:p w14:paraId="60D0F1D8"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Researcher_Note</w:t>
            </w:r>
          </w:p>
        </w:tc>
        <w:tc>
          <w:tcPr>
            <w:tcW w:w="0" w:type="auto"/>
            <w:tcBorders>
              <w:bottom w:val="single" w:sz="6" w:space="0" w:color="auto"/>
            </w:tcBorders>
            <w:vAlign w:val="center"/>
          </w:tcPr>
          <w:p w14:paraId="4ADAE407" w14:textId="77777777" w:rsidR="0032071E" w:rsidRDefault="00000000">
            <w:pPr>
              <w:widowControl/>
              <w:snapToGrid w:val="0"/>
              <w:jc w:val="center"/>
              <w:textAlignment w:val="center"/>
              <w:rPr>
                <w:rFonts w:ascii="Times New Roman" w:eastAsia="宋体" w:hAnsi="Times New Roman" w:cs="Times New Roman"/>
                <w:b/>
                <w:sz w:val="16"/>
                <w:szCs w:val="16"/>
              </w:rPr>
            </w:pPr>
            <w:r>
              <w:rPr>
                <w:rFonts w:ascii="Times New Roman" w:eastAsia="宋体" w:hAnsi="Times New Roman" w:cs="Times New Roman"/>
                <w:b/>
                <w:color w:val="000000"/>
                <w:kern w:val="0"/>
                <w:sz w:val="16"/>
                <w:szCs w:val="16"/>
                <w:lang w:bidi="ar"/>
              </w:rPr>
              <w:t>Discrepancy Type</w:t>
            </w:r>
          </w:p>
        </w:tc>
      </w:tr>
      <w:tr w:rsidR="0032071E" w14:paraId="539F1AD3" w14:textId="77777777">
        <w:trPr>
          <w:jc w:val="center"/>
        </w:trPr>
        <w:tc>
          <w:tcPr>
            <w:tcW w:w="795" w:type="dxa"/>
            <w:tcBorders>
              <w:tl2br w:val="nil"/>
              <w:tr2bl w:val="nil"/>
            </w:tcBorders>
            <w:vAlign w:val="center"/>
          </w:tcPr>
          <w:p w14:paraId="7CFB621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3KW5</w:t>
            </w:r>
          </w:p>
        </w:tc>
        <w:tc>
          <w:tcPr>
            <w:tcW w:w="902" w:type="dxa"/>
            <w:tcBorders>
              <w:tl2br w:val="nil"/>
              <w:tr2bl w:val="nil"/>
            </w:tcBorders>
            <w:vAlign w:val="center"/>
          </w:tcPr>
          <w:p w14:paraId="52EE414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3IFW</w:t>
            </w:r>
          </w:p>
        </w:tc>
        <w:tc>
          <w:tcPr>
            <w:tcW w:w="1159" w:type="dxa"/>
            <w:tcBorders>
              <w:tl2br w:val="nil"/>
              <w:tr2bl w:val="nil"/>
            </w:tcBorders>
            <w:vAlign w:val="center"/>
          </w:tcPr>
          <w:p w14:paraId="194B1AA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SER18TYR</w:t>
            </w:r>
          </w:p>
        </w:tc>
        <w:tc>
          <w:tcPr>
            <w:tcW w:w="1128" w:type="dxa"/>
            <w:tcBorders>
              <w:tl2br w:val="nil"/>
              <w:tr2bl w:val="nil"/>
            </w:tcBorders>
            <w:vAlign w:val="center"/>
          </w:tcPr>
          <w:p w14:paraId="71498A85"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2979" w:type="dxa"/>
            <w:tcBorders>
              <w:tl2br w:val="nil"/>
              <w:tr2bl w:val="nil"/>
            </w:tcBorders>
            <w:vAlign w:val="center"/>
          </w:tcPr>
          <w:p w14:paraId="2D541012"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PIPA and researcher agree. The mutation does not significantly perturb the PPI interface.</w:t>
            </w:r>
          </w:p>
        </w:tc>
        <w:tc>
          <w:tcPr>
            <w:tcW w:w="1471" w:type="dxa"/>
            <w:tcBorders>
              <w:tl2br w:val="nil"/>
              <w:tr2bl w:val="nil"/>
            </w:tcBorders>
            <w:vAlign w:val="center"/>
          </w:tcPr>
          <w:p w14:paraId="0CF950D8"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Correct Classification</w:t>
            </w:r>
          </w:p>
        </w:tc>
      </w:tr>
      <w:tr w:rsidR="0032071E" w14:paraId="31A67890" w14:textId="77777777">
        <w:trPr>
          <w:jc w:val="center"/>
        </w:trPr>
        <w:tc>
          <w:tcPr>
            <w:tcW w:w="795" w:type="dxa"/>
            <w:tcBorders>
              <w:tl2br w:val="nil"/>
              <w:tr2bl w:val="nil"/>
            </w:tcBorders>
            <w:vAlign w:val="center"/>
          </w:tcPr>
          <w:p w14:paraId="19D4FEE0"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3KW5</w:t>
            </w:r>
          </w:p>
        </w:tc>
        <w:tc>
          <w:tcPr>
            <w:tcW w:w="902" w:type="dxa"/>
            <w:tcBorders>
              <w:tl2br w:val="nil"/>
              <w:tr2bl w:val="nil"/>
            </w:tcBorders>
            <w:vAlign w:val="center"/>
          </w:tcPr>
          <w:p w14:paraId="1B429245"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3KVF</w:t>
            </w:r>
          </w:p>
        </w:tc>
        <w:tc>
          <w:tcPr>
            <w:tcW w:w="1159" w:type="dxa"/>
            <w:tcBorders>
              <w:tl2br w:val="nil"/>
              <w:tr2bl w:val="nil"/>
            </w:tcBorders>
            <w:vAlign w:val="center"/>
          </w:tcPr>
          <w:p w14:paraId="63F23210"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ILE93MET</w:t>
            </w:r>
          </w:p>
        </w:tc>
        <w:tc>
          <w:tcPr>
            <w:tcW w:w="1128" w:type="dxa"/>
            <w:tcBorders>
              <w:tl2br w:val="nil"/>
              <w:tr2bl w:val="nil"/>
            </w:tcBorders>
            <w:vAlign w:val="center"/>
          </w:tcPr>
          <w:p w14:paraId="5D77773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Native</w:t>
            </w:r>
          </w:p>
        </w:tc>
        <w:tc>
          <w:tcPr>
            <w:tcW w:w="2979" w:type="dxa"/>
            <w:tcBorders>
              <w:tl2br w:val="nil"/>
              <w:tr2bl w:val="nil"/>
            </w:tcBorders>
            <w:vAlign w:val="center"/>
          </w:tcPr>
          <w:p w14:paraId="4B2545EE"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PIPA and researcher agree. The PPI interface was not perturbed.</w:t>
            </w:r>
          </w:p>
        </w:tc>
        <w:tc>
          <w:tcPr>
            <w:tcW w:w="1471" w:type="dxa"/>
            <w:tcBorders>
              <w:tl2br w:val="nil"/>
              <w:tr2bl w:val="nil"/>
            </w:tcBorders>
            <w:vAlign w:val="center"/>
          </w:tcPr>
          <w:p w14:paraId="6FF8AA3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Correct Classification</w:t>
            </w:r>
          </w:p>
        </w:tc>
      </w:tr>
      <w:tr w:rsidR="0032071E" w14:paraId="5DBE23CD" w14:textId="77777777">
        <w:trPr>
          <w:jc w:val="center"/>
        </w:trPr>
        <w:tc>
          <w:tcPr>
            <w:tcW w:w="795" w:type="dxa"/>
            <w:tcBorders>
              <w:tl2br w:val="nil"/>
              <w:tr2bl w:val="nil"/>
            </w:tcBorders>
            <w:vAlign w:val="center"/>
          </w:tcPr>
          <w:p w14:paraId="5A6C06E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6EC0</w:t>
            </w:r>
          </w:p>
        </w:tc>
        <w:tc>
          <w:tcPr>
            <w:tcW w:w="902" w:type="dxa"/>
            <w:tcBorders>
              <w:tl2br w:val="nil"/>
              <w:tr2bl w:val="nil"/>
            </w:tcBorders>
            <w:vAlign w:val="center"/>
          </w:tcPr>
          <w:p w14:paraId="7D51968B"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6E2J</w:t>
            </w:r>
          </w:p>
        </w:tc>
        <w:tc>
          <w:tcPr>
            <w:tcW w:w="1159" w:type="dxa"/>
            <w:tcBorders>
              <w:tl2br w:val="nil"/>
              <w:tr2bl w:val="nil"/>
            </w:tcBorders>
            <w:vAlign w:val="center"/>
          </w:tcPr>
          <w:p w14:paraId="3E094F6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SER233LEU</w:t>
            </w:r>
          </w:p>
        </w:tc>
        <w:tc>
          <w:tcPr>
            <w:tcW w:w="1128" w:type="dxa"/>
            <w:tcBorders>
              <w:tl2br w:val="nil"/>
              <w:tr2bl w:val="nil"/>
            </w:tcBorders>
            <w:vAlign w:val="center"/>
          </w:tcPr>
          <w:p w14:paraId="0637F478"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Neomorphic</w:t>
            </w:r>
          </w:p>
        </w:tc>
        <w:tc>
          <w:tcPr>
            <w:tcW w:w="2979" w:type="dxa"/>
            <w:tcBorders>
              <w:tl2br w:val="nil"/>
              <w:tr2bl w:val="nil"/>
            </w:tcBorders>
            <w:vAlign w:val="center"/>
          </w:tcPr>
          <w:p w14:paraId="2BAA4F1A"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PIPA and researcher agree. The mutation mediates an aberrant interaction between tetramers by creating a new hydrophobic patch.</w:t>
            </w:r>
          </w:p>
        </w:tc>
        <w:tc>
          <w:tcPr>
            <w:tcW w:w="1471" w:type="dxa"/>
            <w:tcBorders>
              <w:tl2br w:val="nil"/>
              <w:tr2bl w:val="nil"/>
            </w:tcBorders>
            <w:vAlign w:val="center"/>
          </w:tcPr>
          <w:p w14:paraId="3FA9521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Correct Classification</w:t>
            </w:r>
          </w:p>
        </w:tc>
      </w:tr>
      <w:tr w:rsidR="0032071E" w14:paraId="16603F45" w14:textId="77777777">
        <w:trPr>
          <w:jc w:val="center"/>
        </w:trPr>
        <w:tc>
          <w:tcPr>
            <w:tcW w:w="795" w:type="dxa"/>
            <w:tcBorders>
              <w:tl2br w:val="nil"/>
              <w:tr2bl w:val="nil"/>
            </w:tcBorders>
            <w:vAlign w:val="center"/>
          </w:tcPr>
          <w:p w14:paraId="6270503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1OLS</w:t>
            </w:r>
          </w:p>
        </w:tc>
        <w:tc>
          <w:tcPr>
            <w:tcW w:w="902" w:type="dxa"/>
            <w:tcBorders>
              <w:tl2br w:val="nil"/>
              <w:tr2bl w:val="nil"/>
            </w:tcBorders>
            <w:vAlign w:val="center"/>
          </w:tcPr>
          <w:p w14:paraId="09C1C7D7"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1OLU</w:t>
            </w:r>
          </w:p>
        </w:tc>
        <w:tc>
          <w:tcPr>
            <w:tcW w:w="1159" w:type="dxa"/>
            <w:tcBorders>
              <w:tl2br w:val="nil"/>
              <w:tr2bl w:val="nil"/>
            </w:tcBorders>
            <w:vAlign w:val="center"/>
          </w:tcPr>
          <w:p w14:paraId="6A1C3AA0"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HIS291ALA</w:t>
            </w:r>
          </w:p>
        </w:tc>
        <w:tc>
          <w:tcPr>
            <w:tcW w:w="1128" w:type="dxa"/>
            <w:tcBorders>
              <w:tl2br w:val="nil"/>
              <w:tr2bl w:val="nil"/>
            </w:tcBorders>
            <w:vAlign w:val="center"/>
          </w:tcPr>
          <w:p w14:paraId="5801FCD1"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2979" w:type="dxa"/>
            <w:tcBorders>
              <w:tl2br w:val="nil"/>
              <w:tr2bl w:val="nil"/>
            </w:tcBorders>
            <w:vAlign w:val="center"/>
          </w:tcPr>
          <w:p w14:paraId="5F4CBEF5"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hint="eastAsia"/>
                <w:color w:val="000000"/>
                <w:kern w:val="0"/>
                <w:sz w:val="18"/>
                <w:szCs w:val="18"/>
                <w:lang w:bidi="ar"/>
              </w:rPr>
              <w:t>N</w:t>
            </w:r>
            <w:r>
              <w:rPr>
                <w:rFonts w:ascii="Times New Roman" w:eastAsia="宋体" w:hAnsi="Times New Roman" w:cs="Times New Roman"/>
                <w:color w:val="000000"/>
                <w:kern w:val="0"/>
                <w:sz w:val="18"/>
                <w:szCs w:val="18"/>
                <w:lang w:bidi="ar"/>
              </w:rPr>
              <w:t>ot discussed</w:t>
            </w:r>
          </w:p>
        </w:tc>
        <w:tc>
          <w:tcPr>
            <w:tcW w:w="1471" w:type="dxa"/>
            <w:tcBorders>
              <w:tl2br w:val="nil"/>
              <w:tr2bl w:val="nil"/>
            </w:tcBorders>
            <w:vAlign w:val="center"/>
          </w:tcPr>
          <w:p w14:paraId="1E469F7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Lack of Support</w:t>
            </w:r>
          </w:p>
        </w:tc>
      </w:tr>
      <w:tr w:rsidR="0032071E" w14:paraId="50FA1974" w14:textId="77777777">
        <w:trPr>
          <w:jc w:val="center"/>
        </w:trPr>
        <w:tc>
          <w:tcPr>
            <w:tcW w:w="795" w:type="dxa"/>
            <w:tcBorders>
              <w:tl2br w:val="nil"/>
              <w:tr2bl w:val="nil"/>
            </w:tcBorders>
            <w:vAlign w:val="center"/>
          </w:tcPr>
          <w:p w14:paraId="056805E6"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1OLS</w:t>
            </w:r>
          </w:p>
        </w:tc>
        <w:tc>
          <w:tcPr>
            <w:tcW w:w="902" w:type="dxa"/>
            <w:tcBorders>
              <w:tl2br w:val="nil"/>
              <w:tr2bl w:val="nil"/>
            </w:tcBorders>
            <w:vAlign w:val="center"/>
          </w:tcPr>
          <w:p w14:paraId="02B6F52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1OLX</w:t>
            </w:r>
          </w:p>
        </w:tc>
        <w:tc>
          <w:tcPr>
            <w:tcW w:w="1159" w:type="dxa"/>
            <w:tcBorders>
              <w:tl2br w:val="nil"/>
              <w:tr2bl w:val="nil"/>
            </w:tcBorders>
            <w:vAlign w:val="center"/>
          </w:tcPr>
          <w:p w14:paraId="3FE71C7A"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HIS146ALA</w:t>
            </w:r>
          </w:p>
        </w:tc>
        <w:tc>
          <w:tcPr>
            <w:tcW w:w="1128" w:type="dxa"/>
            <w:tcBorders>
              <w:tl2br w:val="nil"/>
              <w:tr2bl w:val="nil"/>
            </w:tcBorders>
            <w:vAlign w:val="center"/>
          </w:tcPr>
          <w:p w14:paraId="203C4938"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Hypomorphic</w:t>
            </w:r>
          </w:p>
        </w:tc>
        <w:tc>
          <w:tcPr>
            <w:tcW w:w="2979" w:type="dxa"/>
            <w:tcBorders>
              <w:tl2br w:val="nil"/>
              <w:tr2bl w:val="nil"/>
            </w:tcBorders>
            <w:vAlign w:val="center"/>
          </w:tcPr>
          <w:p w14:paraId="43D1AC1B"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hint="eastAsia"/>
                <w:color w:val="000000"/>
                <w:kern w:val="0"/>
                <w:sz w:val="18"/>
                <w:szCs w:val="18"/>
                <w:lang w:bidi="ar"/>
              </w:rPr>
              <w:t>N</w:t>
            </w:r>
            <w:r>
              <w:rPr>
                <w:rFonts w:ascii="Times New Roman" w:eastAsia="宋体" w:hAnsi="Times New Roman" w:cs="Times New Roman"/>
                <w:color w:val="000000"/>
                <w:kern w:val="0"/>
                <w:sz w:val="18"/>
                <w:szCs w:val="18"/>
                <w:lang w:bidi="ar"/>
              </w:rPr>
              <w:t>ot discussed</w:t>
            </w:r>
          </w:p>
        </w:tc>
        <w:tc>
          <w:tcPr>
            <w:tcW w:w="1471" w:type="dxa"/>
            <w:tcBorders>
              <w:tl2br w:val="nil"/>
              <w:tr2bl w:val="nil"/>
            </w:tcBorders>
            <w:vAlign w:val="center"/>
          </w:tcPr>
          <w:p w14:paraId="5DC45B94" w14:textId="77777777" w:rsidR="0032071E" w:rsidRDefault="00000000">
            <w:pPr>
              <w:widowControl/>
              <w:jc w:val="center"/>
              <w:textAlignment w:val="center"/>
              <w:rPr>
                <w:rFonts w:ascii="Times New Roman" w:eastAsia="宋体" w:hAnsi="Times New Roman" w:cs="Times New Roman"/>
                <w:sz w:val="18"/>
                <w:szCs w:val="18"/>
              </w:rPr>
            </w:pPr>
            <w:r>
              <w:rPr>
                <w:rFonts w:ascii="Times New Roman" w:eastAsia="宋体" w:hAnsi="Times New Roman" w:cs="Times New Roman"/>
                <w:color w:val="000000"/>
                <w:kern w:val="0"/>
                <w:sz w:val="18"/>
                <w:szCs w:val="18"/>
                <w:lang w:bidi="ar"/>
              </w:rPr>
              <w:t>Lack of Support</w:t>
            </w:r>
          </w:p>
        </w:tc>
      </w:tr>
    </w:tbl>
    <w:p w14:paraId="25AF4511" w14:textId="77777777" w:rsidR="0032071E" w:rsidRDefault="0032071E">
      <w:pPr>
        <w:jc w:val="center"/>
        <w:rPr>
          <w:rFonts w:ascii="Times New Roman" w:hAnsi="Times New Roman" w:cs="Times New Roman"/>
          <w:sz w:val="24"/>
          <w:szCs w:val="24"/>
        </w:rPr>
      </w:pPr>
    </w:p>
    <w:p w14:paraId="4FF9736B"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Table A2.3 contains 5 cases where PIPA's output was found to be either correct or consistent with the human scientist's findings. Three of these were Correct Classifications, where PIPA accurately identified the PPI type based on available evidence, reinforcing its capability to process and interpret structural and functional data. The final two cases, HIS291ALA and HIS146ALA, are categorized as having a "Lack of Support" in the original literature, a nuance PIPA's output did not capture. While PIPA's classification was technically an inference, the output was not a clear misinterpretation of existing data, and thus these cases are distinct from the hallucinations found in Tables A2.1 and A2.2.</w:t>
      </w:r>
    </w:p>
    <w:p w14:paraId="2FCDAC55" w14:textId="77777777" w:rsidR="0032071E" w:rsidRDefault="0032071E">
      <w:pPr>
        <w:rPr>
          <w:rFonts w:ascii="Times New Roman" w:hAnsi="Times New Roman" w:cs="Times New Roman"/>
          <w:sz w:val="24"/>
          <w:szCs w:val="24"/>
        </w:rPr>
      </w:pPr>
    </w:p>
    <w:p w14:paraId="00591844" w14:textId="77777777" w:rsidR="0032071E" w:rsidRDefault="00000000">
      <w:pPr>
        <w:rPr>
          <w:rFonts w:ascii="Times New Roman" w:hAnsi="Times New Roman" w:cs="Times New Roman"/>
          <w:sz w:val="24"/>
          <w:szCs w:val="24"/>
        </w:rPr>
      </w:pPr>
      <w:r>
        <w:rPr>
          <w:rFonts w:ascii="Times New Roman" w:hAnsi="Times New Roman" w:cs="Times New Roman" w:hint="eastAsia"/>
          <w:sz w:val="24"/>
          <w:szCs w:val="24"/>
        </w:rPr>
        <w:t>Appendix 3</w:t>
      </w:r>
      <w:r>
        <w:rPr>
          <w:rFonts w:ascii="Times New Roman" w:hAnsi="Times New Roman" w:cs="Times New Roman"/>
          <w:sz w:val="24"/>
          <w:szCs w:val="24"/>
        </w:rPr>
        <w:t>:</w:t>
      </w:r>
    </w:p>
    <w:p w14:paraId="7504A4F1" w14:textId="77777777" w:rsidR="0032071E" w:rsidRDefault="0032071E">
      <w:pPr>
        <w:rPr>
          <w:rFonts w:ascii="Times New Roman" w:hAnsi="Times New Roman" w:cs="Times New Roman"/>
          <w:sz w:val="24"/>
          <w:szCs w:val="24"/>
        </w:rPr>
      </w:pPr>
    </w:p>
    <w:p w14:paraId="4E38B341"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Rationale and Definition of the Interface Conservation Index (ICI)}</w:t>
      </w:r>
    </w:p>
    <w:p w14:paraId="704196A8"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A critical challenge in assessing protein–protein interaction (PPI) perturbations is that traditional metrics, such as ΔpDockQ, primarily quantify predicted changes in binding affinity but fail to fully capture structural rearrangements at the interface. Subtle perturbations, including loss or gain of interface residues, hydrogen bonds, or salt bridges, may not be reflected in pDockQ scores, potentially underestimating the functional impact of mutations.</w:t>
      </w:r>
    </w:p>
    <w:p w14:paraId="1F3DA744" w14:textId="77777777" w:rsidR="0032071E" w:rsidRDefault="0032071E">
      <w:pPr>
        <w:rPr>
          <w:rFonts w:ascii="Times New Roman" w:hAnsi="Times New Roman" w:cs="Times New Roman"/>
          <w:sz w:val="24"/>
          <w:szCs w:val="24"/>
        </w:rPr>
      </w:pPr>
    </w:p>
    <w:p w14:paraId="1B46957A"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To address this limitation, we introduced the Interface Conservation Index (ICI) as a complementary metric. The ICI quantifies the extent to which physical contacts at a PPI interface are preserved after a mutation, integrating multiple structural features into a single measure. The ICI was conceived based on the hypothesis that interface integrity, rather than binding affinity alone, is a key determinant of functional impact. By integrating structural and energetic information at the interface, ICI provides a more comprehensive assessment of mutation-induced PPI changes.</w:t>
      </w:r>
    </w:p>
    <w:p w14:paraId="7DE11E84" w14:textId="77777777" w:rsidR="0032071E" w:rsidRDefault="00000000">
      <w:pPr>
        <w:jc w:val="cente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114300" distR="114300" wp14:anchorId="6F8517D3" wp14:editId="5FEFDA75">
            <wp:extent cx="3811905" cy="2859405"/>
            <wp:effectExtent l="0" t="0" r="23495" b="10795"/>
            <wp:docPr id="1" name="图片 1" descr="AUROC_AUPRC_Barplot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UROC_AUPRC_Barplot_00"/>
                    <pic:cNvPicPr>
                      <a:picLocks noChangeAspect="1"/>
                    </pic:cNvPicPr>
                  </pic:nvPicPr>
                  <pic:blipFill>
                    <a:blip r:embed="rId5"/>
                    <a:stretch>
                      <a:fillRect/>
                    </a:stretch>
                  </pic:blipFill>
                  <pic:spPr>
                    <a:xfrm>
                      <a:off x="0" y="0"/>
                      <a:ext cx="3811905" cy="2859405"/>
                    </a:xfrm>
                    <a:prstGeom prst="rect">
                      <a:avLst/>
                    </a:prstGeom>
                  </pic:spPr>
                </pic:pic>
              </a:graphicData>
            </a:graphic>
          </wp:inline>
        </w:drawing>
      </w:r>
    </w:p>
    <w:p w14:paraId="405CACCF" w14:textId="77777777" w:rsidR="0032071E" w:rsidRDefault="00000000">
      <w:pPr>
        <w:jc w:val="center"/>
        <w:rPr>
          <w:rFonts w:ascii="Times New Roman" w:hAnsi="Times New Roman" w:cs="Times New Roman"/>
          <w:sz w:val="24"/>
          <w:szCs w:val="24"/>
        </w:rPr>
      </w:pPr>
      <w:r>
        <w:rPr>
          <w:rFonts w:ascii="Times New Roman" w:hAnsi="Times New Roman" w:cs="Times New Roman"/>
          <w:sz w:val="24"/>
          <w:szCs w:val="24"/>
        </w:rPr>
        <w:t>F</w:t>
      </w:r>
      <w:r>
        <w:rPr>
          <w:rFonts w:ascii="Times New Roman" w:hAnsi="Times New Roman" w:cs="Times New Roman" w:hint="eastAsia"/>
          <w:sz w:val="24"/>
          <w:szCs w:val="24"/>
        </w:rPr>
        <w:t>igure</w:t>
      </w:r>
      <w:r>
        <w:rPr>
          <w:rFonts w:ascii="Times New Roman" w:hAnsi="Times New Roman" w:cs="Times New Roman"/>
          <w:sz w:val="24"/>
          <w:szCs w:val="24"/>
        </w:rPr>
        <w:t xml:space="preserve">1. AUROC and AUPRC for </w:t>
      </w:r>
      <w:r>
        <w:rPr>
          <w:rFonts w:ascii="Times New Roman" w:hAnsi="Times New Roman" w:cs="Times New Roman" w:hint="eastAsia"/>
          <w:sz w:val="24"/>
          <w:szCs w:val="24"/>
        </w:rPr>
        <w:t>cl</w:t>
      </w:r>
      <w:r>
        <w:rPr>
          <w:rFonts w:ascii="Times New Roman" w:hAnsi="Times New Roman" w:cs="Times New Roman"/>
          <w:sz w:val="24"/>
          <w:szCs w:val="24"/>
        </w:rPr>
        <w:t>assifying PPI-change</w:t>
      </w:r>
    </w:p>
    <w:p w14:paraId="3E5E489B" w14:textId="77777777" w:rsidR="0032071E" w:rsidRDefault="0032071E">
      <w:pPr>
        <w:rPr>
          <w:rFonts w:ascii="Times New Roman" w:hAnsi="Times New Roman" w:cs="Times New Roman"/>
          <w:sz w:val="24"/>
          <w:szCs w:val="24"/>
        </w:rPr>
      </w:pPr>
    </w:p>
    <w:p w14:paraId="4214401E"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Evaluation using the validated dataset: We computed ICI for all WT–MUT complex pairs and compared its performance with traditional ΔpDockQ scores. While ΔpDockQ alone showed limited discriminative power (AUROC = 0.52, AUPRC = 0.48), the ICI achieved significantly higher predictive performance (AUROC = 0.95, AUPRC = 0.91), demonstrating its effectiveness in capturing interface perturbations.</w:t>
      </w:r>
    </w:p>
    <w:p w14:paraId="1DECA8A0"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In practice, ICI values were combined with ΔpDockQ to classify mutations into categories of interaction perturbation, including:</w:t>
      </w:r>
    </w:p>
    <w:p w14:paraId="1B0DC0EB" w14:textId="77777777" w:rsidR="0032071E" w:rsidRDefault="0032071E">
      <w:pPr>
        <w:rPr>
          <w:rFonts w:ascii="Times New Roman" w:hAnsi="Times New Roman" w:cs="Times New Roman"/>
          <w:sz w:val="24"/>
          <w:szCs w:val="24"/>
        </w:rPr>
      </w:pPr>
    </w:p>
    <w:p w14:paraId="79AEB316"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hypo_PPI – interaction weakening</w:t>
      </w:r>
    </w:p>
    <w:p w14:paraId="3E194A47"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non_change – no significant change</w:t>
      </w:r>
    </w:p>
    <w:p w14:paraId="6B436639" w14:textId="77777777" w:rsidR="0032071E" w:rsidRDefault="0032071E">
      <w:pPr>
        <w:rPr>
          <w:rFonts w:ascii="Times New Roman" w:hAnsi="Times New Roman" w:cs="Times New Roman"/>
          <w:sz w:val="24"/>
          <w:szCs w:val="24"/>
        </w:rPr>
      </w:pPr>
    </w:p>
    <w:p w14:paraId="13B59025"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This framework ensures that PIPA captures both binding affinity and structural consequences of mutations, thereby improving interpretability and biological relevance in downstream analyses.</w:t>
      </w:r>
    </w:p>
    <w:p w14:paraId="3767A399" w14:textId="77777777" w:rsidR="0032071E" w:rsidRDefault="0032071E">
      <w:pPr>
        <w:rPr>
          <w:rFonts w:ascii="Times New Roman" w:hAnsi="Times New Roman" w:cs="Times New Roman"/>
          <w:sz w:val="24"/>
          <w:szCs w:val="24"/>
        </w:rPr>
      </w:pPr>
    </w:p>
    <w:p w14:paraId="1DFBFB5A" w14:textId="77777777" w:rsidR="0032071E" w:rsidRDefault="00000000">
      <w:pPr>
        <w:rPr>
          <w:rFonts w:ascii="Times New Roman" w:hAnsi="Times New Roman" w:cs="Times New Roman"/>
          <w:sz w:val="24"/>
          <w:szCs w:val="24"/>
        </w:rPr>
      </w:pPr>
      <w:r>
        <w:rPr>
          <w:rFonts w:ascii="Times New Roman" w:hAnsi="Times New Roman" w:cs="Times New Roman"/>
          <w:sz w:val="24"/>
          <w:szCs w:val="24"/>
        </w:rPr>
        <w:t>Apppendix 4:</w:t>
      </w:r>
    </w:p>
    <w:p w14:paraId="66E66C35" w14:textId="77777777" w:rsidR="0032071E" w:rsidRDefault="0032071E">
      <w:pPr>
        <w:rPr>
          <w:rFonts w:ascii="Times New Roman" w:hAnsi="Times New Roman" w:cs="Times New Roman"/>
          <w:sz w:val="24"/>
          <w:szCs w:val="24"/>
        </w:rPr>
      </w:pPr>
    </w:p>
    <w:p w14:paraId="30D21628" w14:textId="77777777" w:rsidR="0032071E" w:rsidRDefault="0032071E">
      <w:pPr>
        <w:rPr>
          <w:rFonts w:ascii="Times New Roman" w:hAnsi="Times New Roman" w:cs="Times New Roman"/>
          <w:sz w:val="24"/>
          <w:szCs w:val="24"/>
        </w:rPr>
      </w:pPr>
    </w:p>
    <w:p w14:paraId="06A8BB66" w14:textId="77777777" w:rsidR="0032071E" w:rsidRDefault="00000000">
      <w:pPr>
        <w:rPr>
          <w:rFonts w:ascii="Times New Roman" w:hAnsi="Times New Roman" w:cs="Times New Roman"/>
          <w:sz w:val="24"/>
          <w:szCs w:val="24"/>
        </w:rPr>
      </w:pPr>
      <w:r>
        <w:rPr>
          <w:rFonts w:ascii="Times New Roman" w:hAnsi="Times New Roman" w:cs="Times New Roman"/>
          <w:noProof/>
          <w:sz w:val="24"/>
          <w:szCs w:val="24"/>
        </w:rPr>
        <w:lastRenderedPageBreak/>
        <w:drawing>
          <wp:inline distT="0" distB="0" distL="114300" distR="114300" wp14:anchorId="0F9CAE6C" wp14:editId="08DC18A4">
            <wp:extent cx="4306570" cy="3230245"/>
            <wp:effectExtent l="0" t="0" r="11430" b="20955"/>
            <wp:docPr id="2" name="图片 2" descr="Delta_avg_pDockQ_A_B_Composite_Change_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elta_avg_pDockQ_A_B_Composite_Change_00"/>
                    <pic:cNvPicPr>
                      <a:picLocks noChangeAspect="1"/>
                    </pic:cNvPicPr>
                  </pic:nvPicPr>
                  <pic:blipFill>
                    <a:blip r:embed="rId6"/>
                    <a:stretch>
                      <a:fillRect/>
                    </a:stretch>
                  </pic:blipFill>
                  <pic:spPr>
                    <a:xfrm>
                      <a:off x="0" y="0"/>
                      <a:ext cx="4306570" cy="3230245"/>
                    </a:xfrm>
                    <a:prstGeom prst="rect">
                      <a:avLst/>
                    </a:prstGeom>
                  </pic:spPr>
                </pic:pic>
              </a:graphicData>
            </a:graphic>
          </wp:inline>
        </w:drawing>
      </w:r>
    </w:p>
    <w:p w14:paraId="1229FABE" w14:textId="77777777" w:rsidR="0032071E" w:rsidRDefault="0032071E">
      <w:pPr>
        <w:rPr>
          <w:rFonts w:ascii="Times New Roman" w:hAnsi="Times New Roman" w:cs="Times New Roman"/>
          <w:sz w:val="24"/>
          <w:szCs w:val="24"/>
        </w:rPr>
      </w:pPr>
    </w:p>
    <w:sectPr w:rsidR="003207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2BB3B3C"/>
    <w:multiLevelType w:val="multilevel"/>
    <w:tmpl w:val="92BB3B3C"/>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 w15:restartNumberingAfterBreak="0">
    <w:nsid w:val="783A2952"/>
    <w:multiLevelType w:val="multilevel"/>
    <w:tmpl w:val="783A2952"/>
    <w:lvl w:ilvl="0">
      <w:start w:val="1"/>
      <w:numFmt w:val="decimal"/>
      <w:lvlText w:val="%1."/>
      <w:lvlJc w:val="left"/>
      <w:pPr>
        <w:ind w:left="360" w:hanging="360"/>
      </w:pPr>
      <w:rPr>
        <w:rFonts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860627366">
    <w:abstractNumId w:val="1"/>
  </w:num>
  <w:num w:numId="2" w16cid:durableId="21250341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132"/>
    <w:rsid w:val="D87B8FA1"/>
    <w:rsid w:val="DAFD0A55"/>
    <w:rsid w:val="DFEF3B99"/>
    <w:rsid w:val="FD779942"/>
    <w:rsid w:val="000F1201"/>
    <w:rsid w:val="0032071E"/>
    <w:rsid w:val="00344170"/>
    <w:rsid w:val="00350AC4"/>
    <w:rsid w:val="00360CCE"/>
    <w:rsid w:val="00416181"/>
    <w:rsid w:val="00493B69"/>
    <w:rsid w:val="005B710E"/>
    <w:rsid w:val="0069557C"/>
    <w:rsid w:val="006D1E9F"/>
    <w:rsid w:val="0071347B"/>
    <w:rsid w:val="00720946"/>
    <w:rsid w:val="0079734F"/>
    <w:rsid w:val="00802193"/>
    <w:rsid w:val="009A325B"/>
    <w:rsid w:val="009E438F"/>
    <w:rsid w:val="00AD33DA"/>
    <w:rsid w:val="00B14132"/>
    <w:rsid w:val="00C218CA"/>
    <w:rsid w:val="00D003F5"/>
    <w:rsid w:val="00D30844"/>
    <w:rsid w:val="00D34EE9"/>
    <w:rsid w:val="00DF1CED"/>
    <w:rsid w:val="00E32483"/>
    <w:rsid w:val="00E671DB"/>
    <w:rsid w:val="00EC67AA"/>
    <w:rsid w:val="0C360B29"/>
    <w:rsid w:val="1134315E"/>
    <w:rsid w:val="1EB5EE5D"/>
    <w:rsid w:val="208539D6"/>
    <w:rsid w:val="2239743E"/>
    <w:rsid w:val="241937E4"/>
    <w:rsid w:val="3FB7ACA7"/>
    <w:rsid w:val="663C4765"/>
    <w:rsid w:val="697B001E"/>
    <w:rsid w:val="6F806E0F"/>
    <w:rsid w:val="7208499C"/>
    <w:rsid w:val="7C7B9D94"/>
    <w:rsid w:val="7CD85A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6514DDEA"/>
  <w15:docId w15:val="{73BAEBDB-3CCB-4950-AEB9-02E377C5B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14:ligatures w14:val="standardContextual"/>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2F5496"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Normal (Web)"/>
    <w:basedOn w:val="a"/>
    <w:uiPriority w:val="99"/>
    <w:semiHidden/>
    <w:unhideWhenUsed/>
    <w:pPr>
      <w:spacing w:beforeAutospacing="1" w:afterAutospacing="1"/>
      <w:jc w:val="left"/>
    </w:pPr>
    <w:rPr>
      <w:rFonts w:cs="Times New Roman"/>
      <w:kern w:val="0"/>
      <w:sz w:val="24"/>
    </w:rPr>
  </w:style>
  <w:style w:type="paragraph" w:styleId="aa">
    <w:name w:val="Title"/>
    <w:basedOn w:val="a"/>
    <w:next w:val="a"/>
    <w:link w:val="ab"/>
    <w:uiPriority w:val="10"/>
    <w:qFormat/>
    <w:pPr>
      <w:spacing w:after="80"/>
      <w:contextualSpacing/>
      <w:jc w:val="center"/>
    </w:pPr>
    <w:rPr>
      <w:rFonts w:asciiTheme="majorHAnsi" w:eastAsiaTheme="majorEastAsia" w:hAnsiTheme="majorHAnsi" w:cstheme="majorBidi"/>
      <w:spacing w:val="-10"/>
      <w:kern w:val="28"/>
      <w:sz w:val="56"/>
      <w:szCs w:val="56"/>
    </w:rPr>
  </w:style>
  <w:style w:type="table" w:styleId="ac">
    <w:name w:val="Table Grid"/>
    <w:basedOn w:val="a1"/>
    <w:uiPriority w:val="3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rPr>
  </w:style>
  <w:style w:type="character" w:styleId="ae">
    <w:name w:val="Hyperlink"/>
    <w:basedOn w:val="a0"/>
    <w:uiPriority w:val="99"/>
    <w:unhideWhenUsed/>
    <w:qFormat/>
    <w:rPr>
      <w:color w:val="0563C1" w:themeColor="hyperlink"/>
      <w:u w:val="single"/>
    </w:rPr>
  </w:style>
  <w:style w:type="character" w:customStyle="1" w:styleId="10">
    <w:name w:val="标题 1 字符"/>
    <w:basedOn w:val="a0"/>
    <w:link w:val="1"/>
    <w:uiPriority w:val="9"/>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qFormat/>
    <w:rPr>
      <w:rFonts w:cstheme="majorBidi"/>
      <w:color w:val="2F5496" w:themeColor="accent1" w:themeShade="BF"/>
      <w:sz w:val="28"/>
      <w:szCs w:val="28"/>
    </w:rPr>
  </w:style>
  <w:style w:type="character" w:customStyle="1" w:styleId="50">
    <w:name w:val="标题 5 字符"/>
    <w:basedOn w:val="a0"/>
    <w:link w:val="5"/>
    <w:uiPriority w:val="9"/>
    <w:semiHidden/>
    <w:qFormat/>
    <w:rPr>
      <w:rFonts w:cstheme="majorBidi"/>
      <w:color w:val="2F5496" w:themeColor="accent1" w:themeShade="BF"/>
      <w:sz w:val="24"/>
      <w:szCs w:val="24"/>
    </w:rPr>
  </w:style>
  <w:style w:type="character" w:customStyle="1" w:styleId="60">
    <w:name w:val="标题 6 字符"/>
    <w:basedOn w:val="a0"/>
    <w:link w:val="6"/>
    <w:uiPriority w:val="9"/>
    <w:semiHidden/>
    <w:qFormat/>
    <w:rPr>
      <w:rFonts w:cstheme="majorBidi"/>
      <w:b/>
      <w:bCs/>
      <w:color w:val="2F5496"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b">
    <w:name w:val="标题 字符"/>
    <w:basedOn w:val="a0"/>
    <w:link w:val="aa"/>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styleId="af">
    <w:name w:val="Quote"/>
    <w:basedOn w:val="a"/>
    <w:next w:val="a"/>
    <w:link w:val="af0"/>
    <w:uiPriority w:val="29"/>
    <w:qFormat/>
    <w:pPr>
      <w:spacing w:before="160" w:after="160"/>
      <w:jc w:val="center"/>
    </w:pPr>
    <w:rPr>
      <w:i/>
      <w:iCs/>
      <w:color w:val="404040" w:themeColor="text1" w:themeTint="BF"/>
    </w:rPr>
  </w:style>
  <w:style w:type="character" w:customStyle="1" w:styleId="af0">
    <w:name w:val="引用 字符"/>
    <w:basedOn w:val="a0"/>
    <w:link w:val="af"/>
    <w:uiPriority w:val="29"/>
    <w:qFormat/>
    <w:rPr>
      <w:i/>
      <w:iCs/>
      <w:color w:val="404040" w:themeColor="text1" w:themeTint="BF"/>
    </w:rPr>
  </w:style>
  <w:style w:type="paragraph" w:styleId="af1">
    <w:name w:val="List Paragraph"/>
    <w:basedOn w:val="a"/>
    <w:uiPriority w:val="34"/>
    <w:qFormat/>
    <w:pPr>
      <w:ind w:left="720"/>
      <w:contextualSpacing/>
    </w:pPr>
  </w:style>
  <w:style w:type="character" w:customStyle="1" w:styleId="11">
    <w:name w:val="明显强调1"/>
    <w:basedOn w:val="a0"/>
    <w:uiPriority w:val="21"/>
    <w:qFormat/>
    <w:rPr>
      <w:i/>
      <w:iCs/>
      <w:color w:val="2F5496" w:themeColor="accent1" w:themeShade="BF"/>
    </w:rPr>
  </w:style>
  <w:style w:type="paragraph" w:styleId="af2">
    <w:name w:val="Intense Quote"/>
    <w:basedOn w:val="a"/>
    <w:next w:val="a"/>
    <w:link w:val="af3"/>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f3">
    <w:name w:val="明显引用 字符"/>
    <w:basedOn w:val="a0"/>
    <w:link w:val="af2"/>
    <w:uiPriority w:val="30"/>
    <w:qFormat/>
    <w:rPr>
      <w:i/>
      <w:iCs/>
      <w:color w:val="2F5496" w:themeColor="accent1" w:themeShade="BF"/>
    </w:rPr>
  </w:style>
  <w:style w:type="character" w:customStyle="1" w:styleId="12">
    <w:name w:val="明显参考1"/>
    <w:basedOn w:val="a0"/>
    <w:uiPriority w:val="32"/>
    <w:qFormat/>
    <w:rPr>
      <w:b/>
      <w:bCs/>
      <w:smallCaps/>
      <w:color w:val="2F5496" w:themeColor="accent1" w:themeShade="BF"/>
      <w:spacing w:val="5"/>
    </w:rPr>
  </w:style>
  <w:style w:type="character" w:customStyle="1" w:styleId="13">
    <w:name w:val="未处理的提及1"/>
    <w:basedOn w:val="a0"/>
    <w:uiPriority w:val="99"/>
    <w:semiHidden/>
    <w:unhideWhenUsed/>
    <w:qFormat/>
    <w:rPr>
      <w:color w:val="605E5C"/>
      <w:shd w:val="clear" w:color="auto" w:fill="E1DFDD"/>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1471</Words>
  <Characters>8386</Characters>
  <Application>Microsoft Office Word</Application>
  <DocSecurity>0</DocSecurity>
  <Lines>69</Lines>
  <Paragraphs>19</Paragraphs>
  <ScaleCrop>false</ScaleCrop>
  <Company/>
  <LinksUpToDate>false</LinksUpToDate>
  <CharactersWithSpaces>9838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Xiaotao Wang</dc:creator>
  <cp:lastModifiedBy>Xiaotao Wang</cp:lastModifiedBy>
  <cp:revision>2</cp:revision>
  <dcterms:created xsi:type="dcterms:W3CDTF">2025-09-25T12:08:00Z</dcterms:created>
  <dcterms:modified xsi:type="dcterms:W3CDTF">2025-09-25T12:08:00Z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eyJoZGlkIjoiODRkNjAxM2EyMmZmODQ0ZTk4MTUzOThlYmE5YzJhODYiLCJ1c2VySWQiOiIxMTI0NzM4OTk5In0=</vt:lpwstr>
  </property>
  <property fmtid="{D5CDD505-2E9C-101B-9397-08002B2CF9AE}" pid="3" name="KSOProductBuildVer">
    <vt:lpwstr>2052-7.5.1.8994</vt:lpwstr>
  </property>
  <property fmtid="{D5CDD505-2E9C-101B-9397-08002B2CF9AE}" pid="4" name="ICV">
    <vt:lpwstr>1E77690AFFF63F53A830D56856E08B44_43</vt:lpwstr>
  </property>
</Properties>
</file>