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EB4AC" w14:textId="77777777" w:rsidR="007C51AD" w:rsidRPr="00553263" w:rsidRDefault="00000000" w:rsidP="00AA375D">
      <w:pPr>
        <w:pStyle w:val="Balk1"/>
        <w:rPr>
          <w:lang w:val="en-GB"/>
        </w:rPr>
      </w:pPr>
      <w:r w:rsidRPr="00553263">
        <w:rPr>
          <w:lang w:val="en-GB"/>
        </w:rPr>
        <w:t xml:space="preserve">References </w:t>
      </w:r>
    </w:p>
    <w:p w14:paraId="4E9613C2" w14:textId="77777777" w:rsidR="007C51AD" w:rsidRPr="00553263" w:rsidRDefault="00000000" w:rsidP="00333628">
      <w:pPr>
        <w:spacing w:line="240" w:lineRule="auto"/>
        <w:ind w:left="851" w:hanging="851"/>
        <w:jc w:val="both"/>
        <w:rPr>
          <w:rFonts w:ascii="Garamond" w:hAnsi="Garamond"/>
          <w:sz w:val="24"/>
          <w:szCs w:val="24"/>
          <w:lang w:val="en-GB"/>
        </w:rPr>
      </w:pPr>
      <w:r w:rsidRPr="00553263">
        <w:rPr>
          <w:rFonts w:ascii="Garamond" w:hAnsi="Garamond"/>
          <w:sz w:val="24"/>
          <w:szCs w:val="24"/>
          <w:lang w:val="en-GB"/>
        </w:rPr>
        <w:t xml:space="preserve">[1] Veale, M., &amp; </w:t>
      </w:r>
      <w:proofErr w:type="spellStart"/>
      <w:r w:rsidRPr="00553263">
        <w:rPr>
          <w:rFonts w:ascii="Garamond" w:hAnsi="Garamond"/>
          <w:sz w:val="24"/>
          <w:szCs w:val="24"/>
          <w:lang w:val="en-GB"/>
        </w:rPr>
        <w:t>Borgesius</w:t>
      </w:r>
      <w:proofErr w:type="spellEnd"/>
      <w:r w:rsidRPr="00553263">
        <w:rPr>
          <w:rFonts w:ascii="Garamond" w:hAnsi="Garamond"/>
          <w:sz w:val="24"/>
          <w:szCs w:val="24"/>
          <w:lang w:val="en-GB"/>
        </w:rPr>
        <w:t>, F. Z. (2021). Demystifying the DSA’s Transparency Tools. European Law Blog.</w:t>
      </w:r>
    </w:p>
    <w:p w14:paraId="6E80DB2E" w14:textId="77777777" w:rsidR="007C51AD" w:rsidRPr="00553263" w:rsidRDefault="00000000" w:rsidP="00333628">
      <w:pPr>
        <w:spacing w:line="240" w:lineRule="auto"/>
        <w:ind w:left="851" w:hanging="851"/>
        <w:jc w:val="both"/>
        <w:rPr>
          <w:rFonts w:ascii="Garamond" w:hAnsi="Garamond"/>
          <w:sz w:val="24"/>
          <w:szCs w:val="24"/>
          <w:lang w:val="en-GB"/>
        </w:rPr>
      </w:pPr>
      <w:r w:rsidRPr="00553263">
        <w:rPr>
          <w:rFonts w:ascii="Garamond" w:hAnsi="Garamond"/>
          <w:sz w:val="24"/>
          <w:szCs w:val="24"/>
          <w:lang w:val="en-GB"/>
        </w:rPr>
        <w:t xml:space="preserve">[2] </w:t>
      </w:r>
      <w:proofErr w:type="spellStart"/>
      <w:r w:rsidRPr="00553263">
        <w:rPr>
          <w:rFonts w:ascii="Garamond" w:hAnsi="Garamond"/>
          <w:sz w:val="24"/>
          <w:szCs w:val="24"/>
          <w:lang w:val="en-GB"/>
        </w:rPr>
        <w:t>Mišćenić</w:t>
      </w:r>
      <w:proofErr w:type="spellEnd"/>
      <w:r w:rsidRPr="00553263">
        <w:rPr>
          <w:rFonts w:ascii="Garamond" w:hAnsi="Garamond"/>
          <w:sz w:val="24"/>
          <w:szCs w:val="24"/>
          <w:lang w:val="en-GB"/>
        </w:rPr>
        <w:t>, E. (2024). Transparency and Fairness in the Digital Age: Between Formalism and User Empowerment. European Journal of Consumer Law, 12(1), 1–23.</w:t>
      </w:r>
    </w:p>
    <w:p w14:paraId="60656E84" w14:textId="77777777" w:rsidR="007C51AD" w:rsidRPr="00553263" w:rsidRDefault="00000000" w:rsidP="00333628">
      <w:pPr>
        <w:spacing w:line="240" w:lineRule="auto"/>
        <w:ind w:left="851" w:hanging="851"/>
        <w:jc w:val="both"/>
        <w:rPr>
          <w:rFonts w:ascii="Garamond" w:hAnsi="Garamond"/>
          <w:sz w:val="24"/>
          <w:szCs w:val="24"/>
          <w:lang w:val="en-GB"/>
        </w:rPr>
      </w:pPr>
      <w:r w:rsidRPr="00553263">
        <w:rPr>
          <w:rFonts w:ascii="Garamond" w:hAnsi="Garamond"/>
          <w:sz w:val="24"/>
          <w:szCs w:val="24"/>
          <w:lang w:val="en-GB"/>
        </w:rPr>
        <w:t>[3] Liu, M. (2024). Digitally Enhanced Power Asymmetries in EU Digital Law. Common Market Law Review (forthcoming).</w:t>
      </w:r>
    </w:p>
    <w:p w14:paraId="2E4DB311" w14:textId="77777777" w:rsidR="007C51AD" w:rsidRPr="00553263" w:rsidRDefault="00000000" w:rsidP="00333628">
      <w:pPr>
        <w:spacing w:line="240" w:lineRule="auto"/>
        <w:ind w:left="851" w:hanging="851"/>
        <w:jc w:val="both"/>
        <w:rPr>
          <w:rFonts w:ascii="Garamond" w:hAnsi="Garamond"/>
          <w:sz w:val="24"/>
          <w:szCs w:val="24"/>
          <w:lang w:val="en-GB"/>
        </w:rPr>
      </w:pPr>
      <w:r w:rsidRPr="00553263">
        <w:rPr>
          <w:rFonts w:ascii="Garamond" w:hAnsi="Garamond"/>
          <w:sz w:val="24"/>
          <w:szCs w:val="24"/>
          <w:lang w:val="en-GB"/>
        </w:rPr>
        <w:t>[4] ACCC. (2018). Digital Platforms Inquiry – Preliminary Report. Australian Competition and Consumer Commission.</w:t>
      </w:r>
    </w:p>
    <w:p w14:paraId="75DB6957" w14:textId="77777777" w:rsidR="007C51AD" w:rsidRPr="00553263" w:rsidRDefault="00000000" w:rsidP="00333628">
      <w:pPr>
        <w:spacing w:line="240" w:lineRule="auto"/>
        <w:ind w:left="851" w:hanging="851"/>
        <w:jc w:val="both"/>
        <w:rPr>
          <w:rFonts w:ascii="Garamond" w:hAnsi="Garamond"/>
          <w:sz w:val="24"/>
          <w:szCs w:val="24"/>
          <w:lang w:val="en-GB"/>
        </w:rPr>
      </w:pPr>
      <w:r w:rsidRPr="00553263">
        <w:rPr>
          <w:rFonts w:ascii="Garamond" w:hAnsi="Garamond"/>
          <w:sz w:val="24"/>
          <w:szCs w:val="24"/>
          <w:lang w:val="en-GB"/>
        </w:rPr>
        <w:t>[5] Ben-Shahar, O., &amp; Schneider, C. E. (2014). More Than You Wanted to Know: The Failure of Mandated Disclosure. Princeton University Press.</w:t>
      </w:r>
    </w:p>
    <w:p w14:paraId="7D652A75" w14:textId="77777777" w:rsidR="007C51AD" w:rsidRPr="00553263" w:rsidRDefault="00000000" w:rsidP="00333628">
      <w:pPr>
        <w:spacing w:line="240" w:lineRule="auto"/>
        <w:ind w:left="851" w:hanging="851"/>
        <w:jc w:val="both"/>
        <w:rPr>
          <w:rFonts w:ascii="Garamond" w:hAnsi="Garamond"/>
          <w:sz w:val="24"/>
          <w:szCs w:val="24"/>
          <w:lang w:val="en-GB"/>
        </w:rPr>
      </w:pPr>
      <w:r w:rsidRPr="00553263">
        <w:rPr>
          <w:rFonts w:ascii="Garamond" w:hAnsi="Garamond"/>
          <w:sz w:val="24"/>
          <w:szCs w:val="24"/>
          <w:lang w:val="en-GB"/>
        </w:rPr>
        <w:t>[6] Rossi, A. (2023). Translucency in Platform Transparency: Between Visibility and Opacity. Internet Policy Review, 12(4), 1–15.</w:t>
      </w:r>
    </w:p>
    <w:p w14:paraId="2D1AD473" w14:textId="77777777" w:rsidR="007C51AD" w:rsidRPr="00553263" w:rsidRDefault="00000000" w:rsidP="00333628">
      <w:pPr>
        <w:spacing w:line="240" w:lineRule="auto"/>
        <w:ind w:left="851" w:hanging="851"/>
        <w:jc w:val="both"/>
        <w:rPr>
          <w:rFonts w:ascii="Garamond" w:hAnsi="Garamond"/>
          <w:sz w:val="24"/>
          <w:szCs w:val="24"/>
          <w:lang w:val="en-GB"/>
        </w:rPr>
      </w:pPr>
      <w:r w:rsidRPr="00553263">
        <w:rPr>
          <w:rFonts w:ascii="Garamond" w:hAnsi="Garamond"/>
          <w:sz w:val="24"/>
          <w:szCs w:val="24"/>
          <w:lang w:val="en-GB"/>
        </w:rPr>
        <w:t xml:space="preserve">[7] Urman, A., &amp; </w:t>
      </w:r>
      <w:proofErr w:type="spellStart"/>
      <w:r w:rsidRPr="00553263">
        <w:rPr>
          <w:rFonts w:ascii="Garamond" w:hAnsi="Garamond"/>
          <w:sz w:val="24"/>
          <w:szCs w:val="24"/>
          <w:lang w:val="en-GB"/>
        </w:rPr>
        <w:t>Makhortykh</w:t>
      </w:r>
      <w:proofErr w:type="spellEnd"/>
      <w:r w:rsidRPr="00553263">
        <w:rPr>
          <w:rFonts w:ascii="Garamond" w:hAnsi="Garamond"/>
          <w:sz w:val="24"/>
          <w:szCs w:val="24"/>
          <w:lang w:val="en-GB"/>
        </w:rPr>
        <w:t>, M. (2023). Evaluating Platform Transparency Reports under the DSA. Digital Society, 2(1), 1–18.</w:t>
      </w:r>
    </w:p>
    <w:p w14:paraId="795502AF" w14:textId="77777777" w:rsidR="007C51AD" w:rsidRPr="00553263" w:rsidRDefault="00000000" w:rsidP="00333628">
      <w:pPr>
        <w:spacing w:line="240" w:lineRule="auto"/>
        <w:ind w:left="851" w:hanging="851"/>
        <w:jc w:val="both"/>
        <w:rPr>
          <w:rFonts w:ascii="Garamond" w:hAnsi="Garamond"/>
          <w:sz w:val="24"/>
          <w:szCs w:val="24"/>
          <w:lang w:val="en-GB"/>
        </w:rPr>
      </w:pPr>
      <w:r w:rsidRPr="00553263">
        <w:rPr>
          <w:rFonts w:ascii="Garamond" w:hAnsi="Garamond"/>
          <w:sz w:val="24"/>
          <w:szCs w:val="24"/>
          <w:lang w:val="en-GB"/>
        </w:rPr>
        <w:t>[8] Wilding, D., et al. (2018). The Impact of Digital Platforms on News and Journalistic Content. Report for the ACCC.</w:t>
      </w:r>
    </w:p>
    <w:p w14:paraId="4D54FBA5" w14:textId="77777777" w:rsidR="007C51AD" w:rsidRPr="00553263" w:rsidRDefault="00000000" w:rsidP="00333628">
      <w:pPr>
        <w:spacing w:line="240" w:lineRule="auto"/>
        <w:ind w:left="851" w:hanging="851"/>
        <w:jc w:val="both"/>
        <w:rPr>
          <w:rFonts w:ascii="Garamond" w:hAnsi="Garamond"/>
          <w:sz w:val="24"/>
          <w:szCs w:val="24"/>
          <w:lang w:val="en-GB"/>
        </w:rPr>
      </w:pPr>
      <w:r w:rsidRPr="00553263">
        <w:rPr>
          <w:rFonts w:ascii="Garamond" w:hAnsi="Garamond"/>
          <w:sz w:val="24"/>
          <w:szCs w:val="24"/>
          <w:lang w:val="en-GB"/>
        </w:rPr>
        <w:t xml:space="preserve">[9] </w:t>
      </w:r>
      <w:proofErr w:type="spellStart"/>
      <w:r w:rsidRPr="00553263">
        <w:rPr>
          <w:rFonts w:ascii="Garamond" w:hAnsi="Garamond"/>
          <w:sz w:val="24"/>
          <w:szCs w:val="24"/>
          <w:lang w:val="en-GB"/>
        </w:rPr>
        <w:t>Domurath</w:t>
      </w:r>
      <w:proofErr w:type="spellEnd"/>
      <w:r w:rsidRPr="00553263">
        <w:rPr>
          <w:rFonts w:ascii="Garamond" w:hAnsi="Garamond"/>
          <w:sz w:val="24"/>
          <w:szCs w:val="24"/>
          <w:lang w:val="en-GB"/>
        </w:rPr>
        <w:t>, I. (2024). Hypo-Autonomy and the Limits of Digital Choice. Journal of Consumer Policy (forthcoming).</w:t>
      </w:r>
    </w:p>
    <w:p w14:paraId="5046BD63" w14:textId="77777777" w:rsidR="007C51AD" w:rsidRPr="00553263" w:rsidRDefault="00000000" w:rsidP="00333628">
      <w:pPr>
        <w:spacing w:line="240" w:lineRule="auto"/>
        <w:ind w:left="851" w:hanging="851"/>
        <w:jc w:val="both"/>
        <w:rPr>
          <w:rFonts w:ascii="Garamond" w:hAnsi="Garamond"/>
          <w:sz w:val="24"/>
          <w:szCs w:val="24"/>
          <w:lang w:val="en-GB"/>
        </w:rPr>
      </w:pPr>
      <w:r w:rsidRPr="00553263">
        <w:rPr>
          <w:rFonts w:ascii="Garamond" w:hAnsi="Garamond"/>
          <w:sz w:val="24"/>
          <w:szCs w:val="24"/>
          <w:lang w:val="en-GB"/>
        </w:rPr>
        <w:t xml:space="preserve">[10] </w:t>
      </w:r>
      <w:proofErr w:type="spellStart"/>
      <w:r w:rsidRPr="00553263">
        <w:rPr>
          <w:rFonts w:ascii="Garamond" w:hAnsi="Garamond"/>
          <w:sz w:val="24"/>
          <w:szCs w:val="24"/>
          <w:lang w:val="en-GB"/>
        </w:rPr>
        <w:t>Goanta</w:t>
      </w:r>
      <w:proofErr w:type="spellEnd"/>
      <w:r w:rsidRPr="00553263">
        <w:rPr>
          <w:rFonts w:ascii="Garamond" w:hAnsi="Garamond"/>
          <w:sz w:val="24"/>
          <w:szCs w:val="24"/>
          <w:lang w:val="en-GB"/>
        </w:rPr>
        <w:t>, C., et al. (2024). Digital Cognitive Asymmetries and Legal Responses. Technology and Regulation Review, 3(1), 22–38.</w:t>
      </w:r>
    </w:p>
    <w:p w14:paraId="44DC4DA4" w14:textId="77777777" w:rsidR="007C51AD" w:rsidRPr="00553263" w:rsidRDefault="00000000" w:rsidP="00333628">
      <w:pPr>
        <w:spacing w:line="240" w:lineRule="auto"/>
        <w:ind w:left="851" w:hanging="851"/>
        <w:jc w:val="both"/>
        <w:rPr>
          <w:rFonts w:ascii="Garamond" w:hAnsi="Garamond"/>
          <w:sz w:val="24"/>
          <w:szCs w:val="24"/>
          <w:lang w:val="en-GB"/>
        </w:rPr>
      </w:pPr>
      <w:r w:rsidRPr="00553263">
        <w:rPr>
          <w:rFonts w:ascii="Garamond" w:hAnsi="Garamond"/>
          <w:sz w:val="24"/>
          <w:szCs w:val="24"/>
          <w:lang w:val="en-GB"/>
        </w:rPr>
        <w:t>[11] Crea, N., &amp; De Franceschi, A. (2024). Digital Vulnerability and the Law: Rethinking User Protection in Platform Environments. European Law Journal (forthcoming).</w:t>
      </w:r>
    </w:p>
    <w:p w14:paraId="529B5BC7" w14:textId="77777777" w:rsidR="007C51AD" w:rsidRPr="00553263" w:rsidRDefault="00000000" w:rsidP="00333628">
      <w:pPr>
        <w:spacing w:line="240" w:lineRule="auto"/>
        <w:ind w:left="851" w:hanging="851"/>
        <w:jc w:val="both"/>
        <w:rPr>
          <w:rFonts w:ascii="Garamond" w:hAnsi="Garamond"/>
          <w:sz w:val="24"/>
          <w:szCs w:val="24"/>
          <w:lang w:val="en-GB"/>
        </w:rPr>
      </w:pPr>
      <w:r w:rsidRPr="00553263">
        <w:rPr>
          <w:rFonts w:ascii="Garamond" w:hAnsi="Garamond"/>
          <w:sz w:val="24"/>
          <w:szCs w:val="24"/>
          <w:lang w:val="en-GB"/>
        </w:rPr>
        <w:t>[12] Pasquale, F. (2020). New Laws of Robotics: Defending Human Expertise in the Age of AI. Harvard University Press.</w:t>
      </w:r>
    </w:p>
    <w:p w14:paraId="423B3969" w14:textId="5344C55F" w:rsidR="007C51AD" w:rsidRPr="00553263" w:rsidRDefault="00000000" w:rsidP="00333628">
      <w:pPr>
        <w:spacing w:line="240" w:lineRule="auto"/>
        <w:ind w:left="851" w:hanging="851"/>
        <w:jc w:val="both"/>
        <w:rPr>
          <w:rFonts w:ascii="Garamond" w:hAnsi="Garamond"/>
          <w:sz w:val="24"/>
          <w:szCs w:val="24"/>
          <w:lang w:val="en-GB"/>
        </w:rPr>
      </w:pPr>
      <w:r w:rsidRPr="00553263">
        <w:rPr>
          <w:rFonts w:ascii="Garamond" w:hAnsi="Garamond"/>
          <w:sz w:val="24"/>
          <w:szCs w:val="24"/>
          <w:lang w:val="en-GB"/>
        </w:rPr>
        <w:t>[13] European Commission. (2024). Commission Implementing Regulation (EU) of 4 November 2024 laying down templates and reporting periods under Articles 15, 24 and 42 of Regulation (EU) 2022/2065.</w:t>
      </w:r>
    </w:p>
    <w:p w14:paraId="46CAA7DF" w14:textId="301BB636" w:rsidR="00A0120D" w:rsidRPr="00553263" w:rsidRDefault="00FE23FA" w:rsidP="00A0120D">
      <w:pPr>
        <w:spacing w:line="240" w:lineRule="auto"/>
        <w:ind w:left="851" w:hanging="851"/>
        <w:jc w:val="both"/>
        <w:rPr>
          <w:rFonts w:ascii="Garamond" w:hAnsi="Garamond"/>
          <w:sz w:val="24"/>
          <w:szCs w:val="24"/>
          <w:lang w:val="en-GB"/>
        </w:rPr>
      </w:pPr>
      <w:r w:rsidRPr="00553263">
        <w:rPr>
          <w:rFonts w:ascii="Garamond" w:hAnsi="Garamond"/>
          <w:sz w:val="24"/>
          <w:szCs w:val="24"/>
          <w:lang w:val="en-GB"/>
        </w:rPr>
        <w:t xml:space="preserve">[14] </w:t>
      </w:r>
      <w:proofErr w:type="spellStart"/>
      <w:r w:rsidRPr="00553263">
        <w:rPr>
          <w:rFonts w:ascii="Garamond" w:hAnsi="Garamond"/>
          <w:sz w:val="24"/>
          <w:szCs w:val="24"/>
          <w:lang w:val="en-GB"/>
        </w:rPr>
        <w:t>Rekabet</w:t>
      </w:r>
      <w:proofErr w:type="spellEnd"/>
      <w:r w:rsidRPr="00553263">
        <w:rPr>
          <w:rFonts w:ascii="Garamond" w:hAnsi="Garamond"/>
          <w:sz w:val="24"/>
          <w:szCs w:val="24"/>
          <w:lang w:val="en-GB"/>
        </w:rPr>
        <w:t xml:space="preserve"> </w:t>
      </w:r>
      <w:proofErr w:type="spellStart"/>
      <w:r w:rsidRPr="00553263">
        <w:rPr>
          <w:rFonts w:ascii="Garamond" w:hAnsi="Garamond"/>
          <w:sz w:val="24"/>
          <w:szCs w:val="24"/>
          <w:lang w:val="en-GB"/>
        </w:rPr>
        <w:t>Kurumu</w:t>
      </w:r>
      <w:proofErr w:type="spellEnd"/>
      <w:r w:rsidRPr="00553263">
        <w:rPr>
          <w:rFonts w:ascii="Garamond" w:hAnsi="Garamond"/>
          <w:sz w:val="24"/>
          <w:szCs w:val="24"/>
          <w:lang w:val="en-GB"/>
        </w:rPr>
        <w:t xml:space="preserve">-Turkish </w:t>
      </w:r>
      <w:proofErr w:type="spellStart"/>
      <w:r w:rsidRPr="00553263">
        <w:rPr>
          <w:rFonts w:ascii="Garamond" w:hAnsi="Garamond"/>
          <w:sz w:val="24"/>
          <w:szCs w:val="24"/>
          <w:lang w:val="en-GB"/>
        </w:rPr>
        <w:t>Compatition</w:t>
      </w:r>
      <w:proofErr w:type="spellEnd"/>
      <w:r w:rsidRPr="00553263">
        <w:rPr>
          <w:rFonts w:ascii="Garamond" w:hAnsi="Garamond"/>
          <w:sz w:val="24"/>
          <w:szCs w:val="24"/>
          <w:lang w:val="en-GB"/>
        </w:rPr>
        <w:t xml:space="preserve"> Authority (2024). </w:t>
      </w:r>
      <w:proofErr w:type="spellStart"/>
      <w:r w:rsidRPr="00553263">
        <w:rPr>
          <w:rFonts w:ascii="Garamond" w:hAnsi="Garamond"/>
          <w:sz w:val="24"/>
          <w:szCs w:val="24"/>
          <w:lang w:val="en-GB"/>
        </w:rPr>
        <w:t>Çevrim</w:t>
      </w:r>
      <w:proofErr w:type="spellEnd"/>
      <w:r w:rsidRPr="00553263">
        <w:rPr>
          <w:rFonts w:ascii="Garamond" w:hAnsi="Garamond"/>
          <w:sz w:val="24"/>
          <w:szCs w:val="24"/>
          <w:lang w:val="en-GB"/>
        </w:rPr>
        <w:t xml:space="preserve"> </w:t>
      </w:r>
      <w:proofErr w:type="spellStart"/>
      <w:r w:rsidRPr="00553263">
        <w:rPr>
          <w:rFonts w:ascii="Garamond" w:hAnsi="Garamond"/>
          <w:sz w:val="24"/>
          <w:szCs w:val="24"/>
          <w:lang w:val="en-GB"/>
        </w:rPr>
        <w:t>İçi</w:t>
      </w:r>
      <w:proofErr w:type="spellEnd"/>
      <w:r w:rsidRPr="00553263">
        <w:rPr>
          <w:rFonts w:ascii="Garamond" w:hAnsi="Garamond"/>
          <w:sz w:val="24"/>
          <w:szCs w:val="24"/>
          <w:lang w:val="en-GB"/>
        </w:rPr>
        <w:t xml:space="preserve"> </w:t>
      </w:r>
      <w:proofErr w:type="spellStart"/>
      <w:r w:rsidRPr="00553263">
        <w:rPr>
          <w:rFonts w:ascii="Garamond" w:hAnsi="Garamond"/>
          <w:sz w:val="24"/>
          <w:szCs w:val="24"/>
          <w:lang w:val="en-GB"/>
        </w:rPr>
        <w:t>Reklamcılık</w:t>
      </w:r>
      <w:proofErr w:type="spellEnd"/>
      <w:r w:rsidRPr="00553263">
        <w:rPr>
          <w:rFonts w:ascii="Garamond" w:hAnsi="Garamond"/>
          <w:sz w:val="24"/>
          <w:szCs w:val="24"/>
          <w:lang w:val="en-GB"/>
        </w:rPr>
        <w:t xml:space="preserve"> </w:t>
      </w:r>
      <w:proofErr w:type="spellStart"/>
      <w:r w:rsidRPr="00553263">
        <w:rPr>
          <w:rFonts w:ascii="Garamond" w:hAnsi="Garamond"/>
          <w:sz w:val="24"/>
          <w:szCs w:val="24"/>
          <w:lang w:val="en-GB"/>
        </w:rPr>
        <w:t>Sektör</w:t>
      </w:r>
      <w:proofErr w:type="spellEnd"/>
      <w:r w:rsidRPr="00553263">
        <w:rPr>
          <w:rFonts w:ascii="Garamond" w:hAnsi="Garamond"/>
          <w:sz w:val="24"/>
          <w:szCs w:val="24"/>
          <w:lang w:val="en-GB"/>
        </w:rPr>
        <w:t xml:space="preserve"> </w:t>
      </w:r>
      <w:proofErr w:type="spellStart"/>
      <w:r w:rsidRPr="00553263">
        <w:rPr>
          <w:rFonts w:ascii="Garamond" w:hAnsi="Garamond"/>
          <w:sz w:val="24"/>
          <w:szCs w:val="24"/>
          <w:lang w:val="en-GB"/>
        </w:rPr>
        <w:t>İncelemesi</w:t>
      </w:r>
      <w:proofErr w:type="spellEnd"/>
      <w:r w:rsidRPr="00553263">
        <w:rPr>
          <w:rFonts w:ascii="Garamond" w:hAnsi="Garamond"/>
          <w:sz w:val="24"/>
          <w:szCs w:val="24"/>
          <w:lang w:val="en-GB"/>
        </w:rPr>
        <w:t xml:space="preserve"> </w:t>
      </w:r>
      <w:proofErr w:type="spellStart"/>
      <w:r w:rsidRPr="00553263">
        <w:rPr>
          <w:rFonts w:ascii="Garamond" w:hAnsi="Garamond"/>
          <w:sz w:val="24"/>
          <w:szCs w:val="24"/>
          <w:lang w:val="en-GB"/>
        </w:rPr>
        <w:t>Nihai</w:t>
      </w:r>
      <w:proofErr w:type="spellEnd"/>
      <w:r w:rsidRPr="00553263">
        <w:rPr>
          <w:rFonts w:ascii="Garamond" w:hAnsi="Garamond"/>
          <w:sz w:val="24"/>
          <w:szCs w:val="24"/>
          <w:lang w:val="en-GB"/>
        </w:rPr>
        <w:t xml:space="preserve"> </w:t>
      </w:r>
      <w:proofErr w:type="spellStart"/>
      <w:r w:rsidRPr="00553263">
        <w:rPr>
          <w:rFonts w:ascii="Garamond" w:hAnsi="Garamond"/>
          <w:sz w:val="24"/>
          <w:szCs w:val="24"/>
          <w:lang w:val="en-GB"/>
        </w:rPr>
        <w:t>Raporu</w:t>
      </w:r>
      <w:proofErr w:type="spellEnd"/>
      <w:r w:rsidRPr="00553263">
        <w:rPr>
          <w:rFonts w:ascii="Garamond" w:hAnsi="Garamond"/>
          <w:sz w:val="24"/>
          <w:szCs w:val="24"/>
          <w:lang w:val="en-GB"/>
        </w:rPr>
        <w:t>. Ankara, Türkiye</w:t>
      </w:r>
      <w:r w:rsidR="000C08F6" w:rsidRPr="00553263">
        <w:rPr>
          <w:rFonts w:ascii="Garamond" w:hAnsi="Garamond"/>
          <w:sz w:val="24"/>
          <w:szCs w:val="24"/>
          <w:lang w:val="en-GB"/>
        </w:rPr>
        <w:t xml:space="preserve"> (Turkish Competition Authority (2024). Final Report on the Online Advertising Sector Inquiry. Ankara, Türkiye)</w:t>
      </w:r>
      <w:r w:rsidRPr="00553263">
        <w:rPr>
          <w:rFonts w:ascii="Garamond" w:hAnsi="Garamond"/>
          <w:sz w:val="24"/>
          <w:szCs w:val="24"/>
          <w:lang w:val="en-GB"/>
        </w:rPr>
        <w:t>. [Online] https://www.rekabet.gov.tr/tr/Guncel/cevrim-ici-reklamcilik-sektoru-incelemesi-n-RToUKUTLzU9c0fA1i1dK0</w:t>
      </w:r>
    </w:p>
    <w:p w14:paraId="2AD03CF4" w14:textId="0BB45BAF" w:rsidR="00A0120D" w:rsidRDefault="00A0120D" w:rsidP="009F4952">
      <w:pPr>
        <w:spacing w:line="240" w:lineRule="auto"/>
        <w:ind w:left="851" w:hanging="851"/>
        <w:jc w:val="both"/>
        <w:rPr>
          <w:rFonts w:ascii="Garamond" w:hAnsi="Garamond"/>
          <w:sz w:val="24"/>
          <w:szCs w:val="24"/>
          <w:lang w:val="en-GB"/>
        </w:rPr>
      </w:pPr>
      <w:r w:rsidRPr="00553263">
        <w:rPr>
          <w:rFonts w:ascii="Garamond" w:hAnsi="Garamond"/>
          <w:sz w:val="24"/>
          <w:szCs w:val="24"/>
          <w:lang w:val="en-GB"/>
        </w:rPr>
        <w:t>[1</w:t>
      </w:r>
      <w:r>
        <w:rPr>
          <w:rFonts w:ascii="Garamond" w:hAnsi="Garamond"/>
          <w:sz w:val="24"/>
          <w:szCs w:val="24"/>
          <w:lang w:val="en-GB"/>
        </w:rPr>
        <w:t>5</w:t>
      </w:r>
      <w:r w:rsidRPr="00553263">
        <w:rPr>
          <w:rFonts w:ascii="Garamond" w:hAnsi="Garamond"/>
          <w:sz w:val="24"/>
          <w:szCs w:val="24"/>
          <w:lang w:val="en-GB"/>
        </w:rPr>
        <w:t xml:space="preserve">] </w:t>
      </w:r>
      <w:r w:rsidR="009F4952" w:rsidRPr="009F4952">
        <w:rPr>
          <w:rFonts w:ascii="Garamond" w:hAnsi="Garamond"/>
          <w:sz w:val="24"/>
          <w:szCs w:val="24"/>
          <w:lang w:val="en-GB"/>
        </w:rPr>
        <w:t>McDonald, A. M., &amp; Cranor, L. F. (2008). The Cost of Reading Privacy Policies. ISJLP</w:t>
      </w:r>
      <w:r w:rsidR="009F4952">
        <w:rPr>
          <w:rFonts w:ascii="Garamond" w:hAnsi="Garamond"/>
          <w:sz w:val="24"/>
          <w:szCs w:val="24"/>
          <w:lang w:val="en-GB"/>
        </w:rPr>
        <w:t>-</w:t>
      </w:r>
      <w:r w:rsidR="009F4952" w:rsidRPr="009F4952">
        <w:rPr>
          <w:rFonts w:ascii="Garamond" w:hAnsi="Garamond"/>
          <w:sz w:val="24"/>
          <w:szCs w:val="24"/>
          <w:lang w:val="en-GB"/>
        </w:rPr>
        <w:t>I/S: A Journal of Law and Policy for the Information Society, 4(3), 543–565.</w:t>
      </w:r>
    </w:p>
    <w:p w14:paraId="4834ECD7" w14:textId="0BC2D10C" w:rsidR="00FE23FA" w:rsidRPr="00553263" w:rsidRDefault="002D1E09" w:rsidP="00D33CAA">
      <w:pPr>
        <w:spacing w:line="240" w:lineRule="auto"/>
        <w:ind w:left="851" w:hanging="851"/>
        <w:jc w:val="both"/>
        <w:rPr>
          <w:rFonts w:ascii="Garamond" w:hAnsi="Garamond"/>
          <w:sz w:val="24"/>
          <w:szCs w:val="24"/>
          <w:lang w:val="en-GB"/>
        </w:rPr>
      </w:pPr>
      <w:r>
        <w:rPr>
          <w:rFonts w:ascii="Garamond" w:hAnsi="Garamond"/>
          <w:sz w:val="24"/>
          <w:szCs w:val="24"/>
          <w:lang w:val="en-GB"/>
        </w:rPr>
        <w:lastRenderedPageBreak/>
        <w:t xml:space="preserve">[16] </w:t>
      </w:r>
      <w:proofErr w:type="spellStart"/>
      <w:r w:rsidRPr="002D1E09">
        <w:rPr>
          <w:rFonts w:ascii="Garamond" w:hAnsi="Garamond"/>
          <w:sz w:val="24"/>
          <w:szCs w:val="24"/>
          <w:lang w:val="en-GB"/>
        </w:rPr>
        <w:t>Acquisti</w:t>
      </w:r>
      <w:proofErr w:type="spellEnd"/>
      <w:r w:rsidRPr="002D1E09">
        <w:rPr>
          <w:rFonts w:ascii="Garamond" w:hAnsi="Garamond"/>
          <w:sz w:val="24"/>
          <w:szCs w:val="24"/>
          <w:lang w:val="en-GB"/>
        </w:rPr>
        <w:t>, A. (2024). The Economics of Privacy at a Crossroads. In A. Goldfarb &amp; C. E. Tucker (Eds.), The Economics of Privacy (pp.</w:t>
      </w:r>
      <w:r w:rsidRPr="002D1E09">
        <w:rPr>
          <w:rFonts w:ascii="Times New Roman" w:hAnsi="Times New Roman" w:cs="Times New Roman"/>
          <w:sz w:val="24"/>
          <w:szCs w:val="24"/>
          <w:lang w:val="en-GB"/>
        </w:rPr>
        <w:t> </w:t>
      </w:r>
      <w:r w:rsidRPr="002D1E09">
        <w:rPr>
          <w:rFonts w:ascii="Garamond" w:hAnsi="Garamond"/>
          <w:sz w:val="24"/>
          <w:szCs w:val="24"/>
          <w:lang w:val="en-GB"/>
        </w:rPr>
        <w:t>21–72). Chicago: University of Chicago Press.</w:t>
      </w:r>
    </w:p>
    <w:sectPr w:rsidR="00FE23FA" w:rsidRPr="0055326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9F690" w14:textId="77777777" w:rsidR="0063767A" w:rsidRDefault="0063767A" w:rsidP="00967132">
      <w:pPr>
        <w:spacing w:after="0" w:line="240" w:lineRule="auto"/>
      </w:pPr>
      <w:r>
        <w:separator/>
      </w:r>
    </w:p>
  </w:endnote>
  <w:endnote w:type="continuationSeparator" w:id="0">
    <w:p w14:paraId="58128FDF" w14:textId="77777777" w:rsidR="0063767A" w:rsidRDefault="0063767A" w:rsidP="00967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8352A" w14:textId="77777777" w:rsidR="0063767A" w:rsidRDefault="0063767A" w:rsidP="00967132">
      <w:pPr>
        <w:spacing w:after="0" w:line="240" w:lineRule="auto"/>
      </w:pPr>
      <w:r>
        <w:separator/>
      </w:r>
    </w:p>
  </w:footnote>
  <w:footnote w:type="continuationSeparator" w:id="0">
    <w:p w14:paraId="18D143AC" w14:textId="77777777" w:rsidR="0063767A" w:rsidRDefault="0063767A" w:rsidP="009671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971E5D"/>
    <w:multiLevelType w:val="multilevel"/>
    <w:tmpl w:val="3C4ECD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338650CC"/>
    <w:multiLevelType w:val="hybridMultilevel"/>
    <w:tmpl w:val="20A0021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339229">
    <w:abstractNumId w:val="8"/>
  </w:num>
  <w:num w:numId="2" w16cid:durableId="1221214989">
    <w:abstractNumId w:val="6"/>
  </w:num>
  <w:num w:numId="3" w16cid:durableId="2009861162">
    <w:abstractNumId w:val="5"/>
  </w:num>
  <w:num w:numId="4" w16cid:durableId="842089697">
    <w:abstractNumId w:val="4"/>
  </w:num>
  <w:num w:numId="5" w16cid:durableId="1309283919">
    <w:abstractNumId w:val="7"/>
  </w:num>
  <w:num w:numId="6" w16cid:durableId="905993953">
    <w:abstractNumId w:val="3"/>
  </w:num>
  <w:num w:numId="7" w16cid:durableId="1120224439">
    <w:abstractNumId w:val="2"/>
  </w:num>
  <w:num w:numId="8" w16cid:durableId="1482651382">
    <w:abstractNumId w:val="1"/>
  </w:num>
  <w:num w:numId="9" w16cid:durableId="863790937">
    <w:abstractNumId w:val="0"/>
  </w:num>
  <w:num w:numId="10" w16cid:durableId="603613792">
    <w:abstractNumId w:val="10"/>
  </w:num>
  <w:num w:numId="11" w16cid:durableId="1435504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0935"/>
    <w:rsid w:val="0001627A"/>
    <w:rsid w:val="00034616"/>
    <w:rsid w:val="0006063C"/>
    <w:rsid w:val="00060735"/>
    <w:rsid w:val="000C08F6"/>
    <w:rsid w:val="000D6392"/>
    <w:rsid w:val="0013482F"/>
    <w:rsid w:val="00142EDF"/>
    <w:rsid w:val="0015074B"/>
    <w:rsid w:val="00154AD0"/>
    <w:rsid w:val="00173511"/>
    <w:rsid w:val="001A5DAB"/>
    <w:rsid w:val="001B0F20"/>
    <w:rsid w:val="001C45B6"/>
    <w:rsid w:val="001D02AD"/>
    <w:rsid w:val="001F2615"/>
    <w:rsid w:val="00207462"/>
    <w:rsid w:val="00227A2C"/>
    <w:rsid w:val="00234196"/>
    <w:rsid w:val="00242D02"/>
    <w:rsid w:val="00274A27"/>
    <w:rsid w:val="0029639D"/>
    <w:rsid w:val="002C2CD0"/>
    <w:rsid w:val="002D1E09"/>
    <w:rsid w:val="0030596F"/>
    <w:rsid w:val="00326F90"/>
    <w:rsid w:val="00333628"/>
    <w:rsid w:val="00370CAA"/>
    <w:rsid w:val="004521E0"/>
    <w:rsid w:val="00462028"/>
    <w:rsid w:val="004B79E4"/>
    <w:rsid w:val="004C6049"/>
    <w:rsid w:val="00507313"/>
    <w:rsid w:val="005277E9"/>
    <w:rsid w:val="00552ABE"/>
    <w:rsid w:val="00553263"/>
    <w:rsid w:val="0057211D"/>
    <w:rsid w:val="005A21AE"/>
    <w:rsid w:val="005D18C8"/>
    <w:rsid w:val="005E725A"/>
    <w:rsid w:val="0063767A"/>
    <w:rsid w:val="00651179"/>
    <w:rsid w:val="0066355B"/>
    <w:rsid w:val="00666F94"/>
    <w:rsid w:val="006D42EE"/>
    <w:rsid w:val="00727BCB"/>
    <w:rsid w:val="00777F89"/>
    <w:rsid w:val="007C51AD"/>
    <w:rsid w:val="00843082"/>
    <w:rsid w:val="0088337B"/>
    <w:rsid w:val="008A648E"/>
    <w:rsid w:val="008C5A83"/>
    <w:rsid w:val="008F7F0E"/>
    <w:rsid w:val="0091704C"/>
    <w:rsid w:val="00922A1D"/>
    <w:rsid w:val="009333A2"/>
    <w:rsid w:val="009554D5"/>
    <w:rsid w:val="009651E1"/>
    <w:rsid w:val="00967132"/>
    <w:rsid w:val="009861C5"/>
    <w:rsid w:val="009C42F8"/>
    <w:rsid w:val="009F4952"/>
    <w:rsid w:val="009F5DA2"/>
    <w:rsid w:val="00A0120D"/>
    <w:rsid w:val="00A638E1"/>
    <w:rsid w:val="00A862A8"/>
    <w:rsid w:val="00A862D4"/>
    <w:rsid w:val="00AA1D8D"/>
    <w:rsid w:val="00AA375D"/>
    <w:rsid w:val="00AE0102"/>
    <w:rsid w:val="00B35740"/>
    <w:rsid w:val="00B42933"/>
    <w:rsid w:val="00B47730"/>
    <w:rsid w:val="00B47BC0"/>
    <w:rsid w:val="00B7392B"/>
    <w:rsid w:val="00BA7F00"/>
    <w:rsid w:val="00BF1BC7"/>
    <w:rsid w:val="00BF533C"/>
    <w:rsid w:val="00C0701E"/>
    <w:rsid w:val="00C31FB9"/>
    <w:rsid w:val="00CB0664"/>
    <w:rsid w:val="00CB612E"/>
    <w:rsid w:val="00CD0453"/>
    <w:rsid w:val="00D040B6"/>
    <w:rsid w:val="00D33CAA"/>
    <w:rsid w:val="00DB67D8"/>
    <w:rsid w:val="00DF525C"/>
    <w:rsid w:val="00E030B3"/>
    <w:rsid w:val="00E37E61"/>
    <w:rsid w:val="00E72897"/>
    <w:rsid w:val="00F07664"/>
    <w:rsid w:val="00F75F22"/>
    <w:rsid w:val="00F77068"/>
    <w:rsid w:val="00F846CE"/>
    <w:rsid w:val="00F94E9C"/>
    <w:rsid w:val="00FC0F0C"/>
    <w:rsid w:val="00FC693F"/>
    <w:rsid w:val="00FE23FA"/>
    <w:rsid w:val="00FF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713D6D"/>
  <w14:defaultImageDpi w14:val="300"/>
  <w15:docId w15:val="{65EB7BE5-DB22-4B4F-AA4F-6E8592DD3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Balk1">
    <w:name w:val="heading 1"/>
    <w:basedOn w:val="Normal"/>
    <w:next w:val="Normal"/>
    <w:link w:val="Balk1Char"/>
    <w:uiPriority w:val="9"/>
    <w:qFormat/>
    <w:rsid w:val="00BF1BC7"/>
    <w:pPr>
      <w:keepNext/>
      <w:keepLines/>
      <w:spacing w:before="480" w:after="0" w:line="360" w:lineRule="auto"/>
      <w:jc w:val="both"/>
      <w:outlineLvl w:val="0"/>
    </w:pPr>
    <w:rPr>
      <w:rFonts w:ascii="Garamond" w:eastAsiaTheme="majorEastAsia" w:hAnsi="Garamond" w:cstheme="majorBidi"/>
      <w:b/>
      <w:bCs/>
      <w:sz w:val="24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F1BC7"/>
    <w:pPr>
      <w:keepNext/>
      <w:keepLines/>
      <w:spacing w:before="200" w:after="0" w:line="360" w:lineRule="auto"/>
      <w:jc w:val="both"/>
      <w:outlineLvl w:val="1"/>
    </w:pPr>
    <w:rPr>
      <w:rFonts w:ascii="Garamond" w:eastAsiaTheme="majorEastAsia" w:hAnsi="Garamond" w:cstheme="majorBidi"/>
      <w:b/>
      <w:bCs/>
      <w:sz w:val="24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18BF"/>
  </w:style>
  <w:style w:type="paragraph" w:styleId="AltBilgi">
    <w:name w:val="footer"/>
    <w:basedOn w:val="Normal"/>
    <w:link w:val="Al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18BF"/>
  </w:style>
  <w:style w:type="paragraph" w:styleId="AralkYok">
    <w:name w:val="No Spacing"/>
    <w:uiPriority w:val="1"/>
    <w:qFormat/>
    <w:rsid w:val="00FC693F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BF1BC7"/>
    <w:rPr>
      <w:rFonts w:ascii="Garamond" w:eastAsiaTheme="majorEastAsia" w:hAnsi="Garamond" w:cstheme="majorBidi"/>
      <w:b/>
      <w:bCs/>
      <w:sz w:val="24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BF1BC7"/>
    <w:rPr>
      <w:rFonts w:ascii="Garamond" w:eastAsiaTheme="majorEastAsia" w:hAnsi="Garamond" w:cstheme="majorBidi"/>
      <w:b/>
      <w:bCs/>
      <w:sz w:val="24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A1D8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AA1D8D"/>
  </w:style>
  <w:style w:type="paragraph" w:styleId="GvdeMetni2">
    <w:name w:val="Body Text 2"/>
    <w:basedOn w:val="Normal"/>
    <w:link w:val="GvdeMetni2Char"/>
    <w:uiPriority w:val="99"/>
    <w:unhideWhenUsed/>
    <w:rsid w:val="00AA1D8D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A1D8D"/>
  </w:style>
  <w:style w:type="paragraph" w:styleId="GvdeMetni3">
    <w:name w:val="Body Text 3"/>
    <w:basedOn w:val="Normal"/>
    <w:link w:val="GvdeMetni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Maddemi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ara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ara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ara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Devam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Metni">
    <w:name w:val="macro"/>
    <w:link w:val="MakroMetni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rsid w:val="0029639D"/>
    <w:rPr>
      <w:rFonts w:ascii="Courier" w:hAnsi="Courier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FC693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C693F"/>
    <w:rPr>
      <w:i/>
      <w:i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FC693F"/>
    <w:rPr>
      <w:b/>
      <w:bCs/>
    </w:rPr>
  </w:style>
  <w:style w:type="character" w:styleId="Vurgu">
    <w:name w:val="Emphasis"/>
    <w:basedOn w:val="VarsaylanParagrafYazTipi"/>
    <w:uiPriority w:val="20"/>
    <w:qFormat/>
    <w:rsid w:val="00FC693F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C693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C693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C693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C693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C693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C693F"/>
    <w:pPr>
      <w:outlineLvl w:val="9"/>
    </w:pPr>
  </w:style>
  <w:style w:type="table" w:styleId="TabloKlavuzu">
    <w:name w:val="Table Grid"/>
    <w:basedOn w:val="NormalTablo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">
    <w:name w:val="Light List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Klavuz">
    <w:name w:val="Light Grid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Glgeleme1">
    <w:name w:val="Medium Shading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1">
    <w:name w:val="Medium Lis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KoyuListe">
    <w:name w:val="Dark List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RenkliGlgeleme">
    <w:name w:val="Colorful Shading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Liste">
    <w:name w:val="Colorful List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Klavuz">
    <w:name w:val="Colorful Grid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DipnotMetni">
    <w:name w:val="footnote text"/>
    <w:basedOn w:val="Normal"/>
    <w:link w:val="DipnotMetniChar"/>
    <w:uiPriority w:val="99"/>
    <w:unhideWhenUsed/>
    <w:rsid w:val="004521E0"/>
    <w:pPr>
      <w:spacing w:before="40" w:after="40" w:line="240" w:lineRule="auto"/>
      <w:ind w:left="567" w:right="113" w:hanging="454"/>
    </w:pPr>
    <w:rPr>
      <w:rFonts w:ascii="Garamond" w:hAnsi="Garamond"/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4521E0"/>
    <w:rPr>
      <w:rFonts w:ascii="Garamond" w:hAnsi="Garamond"/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967132"/>
    <w:rPr>
      <w:vertAlign w:val="superscript"/>
    </w:rPr>
  </w:style>
  <w:style w:type="character" w:styleId="Kpr">
    <w:name w:val="Hyperlink"/>
    <w:basedOn w:val="VarsaylanParagrafYazTipi"/>
    <w:uiPriority w:val="99"/>
    <w:unhideWhenUsed/>
    <w:rsid w:val="00A0120D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A012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437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401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3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352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2130</Characters>
  <Application>Microsoft Office Word</Application>
  <DocSecurity>0</DocSecurity>
  <Lines>33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Elif Beyza Akkanat</cp:lastModifiedBy>
  <cp:revision>3</cp:revision>
  <cp:lastPrinted>2025-08-02T10:51:00Z</cp:lastPrinted>
  <dcterms:created xsi:type="dcterms:W3CDTF">2025-08-04T11:14:00Z</dcterms:created>
  <dcterms:modified xsi:type="dcterms:W3CDTF">2025-08-04T11:14:00Z</dcterms:modified>
  <cp:category/>
</cp:coreProperties>
</file>