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EB0A9" w14:textId="21BCE07C" w:rsidR="00E259FD" w:rsidRDefault="000D38F4" w:rsidP="00E259FD">
      <w:pPr>
        <w:pStyle w:val="Heading1"/>
      </w:pPr>
      <w:r>
        <w:t xml:space="preserve">GENERATION AI: PEDAGOGICAL FRAMEWORKS </w:t>
      </w:r>
      <w:r>
        <w:br/>
        <w:t>AND TOOLS FOR AI EDUCATION</w:t>
      </w:r>
    </w:p>
    <w:p w14:paraId="4ACA8A21" w14:textId="3BCA015C" w:rsidR="00E259FD" w:rsidRPr="00EA3AE1" w:rsidRDefault="00D521E7">
      <w:pPr>
        <w:jc w:val="center"/>
        <w:rPr>
          <w:u w:val="single"/>
        </w:rPr>
      </w:pPr>
      <w:r>
        <w:t>Matti Tedre</w:t>
      </w:r>
      <w:r w:rsidR="002434D4" w:rsidRPr="002434D4">
        <w:rPr>
          <w:vertAlign w:val="superscript"/>
        </w:rPr>
        <w:t>1</w:t>
      </w:r>
      <w:r w:rsidR="002434D4" w:rsidRPr="002434D4">
        <w:t xml:space="preserve"> </w:t>
      </w:r>
      <w:r w:rsidR="002434D4">
        <w:t xml:space="preserve">&amp; </w:t>
      </w:r>
      <w:proofErr w:type="spellStart"/>
      <w:r>
        <w:t>Henriikka</w:t>
      </w:r>
      <w:proofErr w:type="spellEnd"/>
      <w:r>
        <w:t xml:space="preserve"> Vartiainen</w:t>
      </w:r>
      <w:r w:rsidR="002434D4" w:rsidRPr="002434D4">
        <w:rPr>
          <w:vertAlign w:val="superscript"/>
        </w:rPr>
        <w:t>2</w:t>
      </w:r>
    </w:p>
    <w:p w14:paraId="46136005" w14:textId="77777777" w:rsidR="00D521E7" w:rsidRDefault="002434D4">
      <w:pPr>
        <w:jc w:val="center"/>
      </w:pPr>
      <w:r w:rsidRPr="002434D4">
        <w:rPr>
          <w:vertAlign w:val="superscript"/>
        </w:rPr>
        <w:t>1</w:t>
      </w:r>
      <w:r w:rsidR="000D38F4" w:rsidRPr="000D38F4">
        <w:t>S</w:t>
      </w:r>
      <w:r w:rsidR="00D521E7">
        <w:t>chool of Computing, University of Eastern Finland</w:t>
      </w:r>
    </w:p>
    <w:p w14:paraId="44C1AA65" w14:textId="0112833B" w:rsidR="00D521E7" w:rsidRDefault="002434D4" w:rsidP="00D521E7">
      <w:pPr>
        <w:jc w:val="center"/>
      </w:pPr>
      <w:r w:rsidRPr="002434D4">
        <w:rPr>
          <w:vertAlign w:val="superscript"/>
        </w:rPr>
        <w:t>2</w:t>
      </w:r>
      <w:r w:rsidR="000D38F4">
        <w:t>S</w:t>
      </w:r>
      <w:r w:rsidR="00D521E7" w:rsidRPr="000D38F4">
        <w:t>chool of Applied Educational Science and Teacher Education</w:t>
      </w:r>
      <w:r w:rsidR="00D521E7">
        <w:t>, University of Eastern Finland</w:t>
      </w:r>
    </w:p>
    <w:p w14:paraId="6C2BEC9C" w14:textId="1D991F5A" w:rsidR="003E50C0" w:rsidRDefault="00D521E7" w:rsidP="003E50C0">
      <w:pPr>
        <w:jc w:val="center"/>
      </w:pPr>
      <w:r>
        <w:t xml:space="preserve"> </w:t>
      </w:r>
      <w:r w:rsidR="000D38F4">
        <w:t>firstname.lastname@uef.fi</w:t>
      </w:r>
    </w:p>
    <w:p w14:paraId="228AAAAC" w14:textId="77777777" w:rsidR="00531AE4" w:rsidRDefault="00531AE4" w:rsidP="00531AE4">
      <w:pPr>
        <w:pStyle w:val="FocusTopics"/>
      </w:pPr>
    </w:p>
    <w:p w14:paraId="49F26D0C" w14:textId="6780CA3F" w:rsidR="003E50C0" w:rsidRPr="00531AE4" w:rsidRDefault="003E50C0" w:rsidP="00531AE4">
      <w:pPr>
        <w:pStyle w:val="FocusTopics"/>
        <w:rPr>
          <w:bCs w:val="0"/>
          <w:sz w:val="21"/>
          <w:szCs w:val="24"/>
        </w:rPr>
      </w:pPr>
      <w:r w:rsidRPr="00531AE4">
        <w:rPr>
          <w:bCs w:val="0"/>
        </w:rPr>
        <w:t xml:space="preserve">Focus Topics: </w:t>
      </w:r>
      <w:r w:rsidR="000D38F4">
        <w:rPr>
          <w:bCs w:val="0"/>
        </w:rPr>
        <w:t>Tools, Learning Materials</w:t>
      </w:r>
      <w:r w:rsidRPr="00531AE4">
        <w:rPr>
          <w:bCs w:val="0"/>
        </w:rPr>
        <w:t xml:space="preserve"> </w:t>
      </w:r>
    </w:p>
    <w:p w14:paraId="2D51D64F" w14:textId="1FBC115E" w:rsidR="00582843" w:rsidRDefault="00FE2DF3" w:rsidP="00531AE4">
      <w:pPr>
        <w:pStyle w:val="Heading2"/>
      </w:pPr>
      <w:r>
        <w:t>Educational Tools</w:t>
      </w:r>
    </w:p>
    <w:p w14:paraId="062F6504" w14:textId="3C443F8F" w:rsidR="00FE2DF3" w:rsidRDefault="00FE2DF3" w:rsidP="00FE2DF3">
      <w:pPr>
        <w:pStyle w:val="BodyText"/>
      </w:pPr>
      <w:r>
        <w:t>AI education is different from classical CT, and it needs pedagogical approaches specifically tailored and contextualized for the purposes of AI</w:t>
      </w:r>
      <w:r w:rsidR="005549BF">
        <w:t xml:space="preserve"> </w:t>
      </w:r>
      <w:r w:rsidR="005549BF">
        <w:t>(Tedre et al., 2021)</w:t>
      </w:r>
      <w:r>
        <w:t xml:space="preserve">.  This talk presents the pedagogical frameworks, classroom approaches, and learning material developed and refined through the implementation of </w:t>
      </w:r>
      <w:r w:rsidR="00704487">
        <w:t>four</w:t>
      </w:r>
      <w:r>
        <w:t xml:space="preserve"> AI-driven tools</w:t>
      </w:r>
      <w:r w:rsidR="00DE0F2E">
        <w:t xml:space="preserve"> to support data agency (</w:t>
      </w:r>
      <w:proofErr w:type="spellStart"/>
      <w:r w:rsidR="00DE0F2E">
        <w:t>Vartiainen</w:t>
      </w:r>
      <w:proofErr w:type="spellEnd"/>
      <w:r w:rsidR="00DE0F2E">
        <w:t xml:space="preserve"> et al., 2024b)</w:t>
      </w:r>
      <w:r>
        <w:t>:</w:t>
      </w:r>
    </w:p>
    <w:p w14:paraId="6D060225" w14:textId="6446C8B6" w:rsidR="00FE2DF3" w:rsidRDefault="00FE2DF3" w:rsidP="00FE2DF3">
      <w:pPr>
        <w:pStyle w:val="BodyText"/>
      </w:pPr>
      <w:proofErr w:type="spellStart"/>
      <w:r>
        <w:t>GenAI</w:t>
      </w:r>
      <w:proofErr w:type="spellEnd"/>
      <w:r>
        <w:t xml:space="preserve"> Teachable Machine: </w:t>
      </w:r>
      <w:hyperlink r:id="rId7" w:history="1">
        <w:r w:rsidRPr="00FF5FC5">
          <w:rPr>
            <w:rStyle w:val="Hyperlink"/>
          </w:rPr>
          <w:t>https://tm.gen-ai.fi/</w:t>
        </w:r>
      </w:hyperlink>
      <w:r>
        <w:t xml:space="preserve"> </w:t>
      </w:r>
      <w:r w:rsidR="00704487">
        <w:t>(cross-curricular)</w:t>
      </w:r>
    </w:p>
    <w:p w14:paraId="3953B580" w14:textId="21C14C41" w:rsidR="00FE2DF3" w:rsidRDefault="00FE2DF3" w:rsidP="00FE2DF3">
      <w:pPr>
        <w:pStyle w:val="BodyText"/>
      </w:pPr>
      <w:proofErr w:type="spellStart"/>
      <w:r>
        <w:t>GenAI</w:t>
      </w:r>
      <w:proofErr w:type="spellEnd"/>
      <w:r>
        <w:t xml:space="preserve"> </w:t>
      </w:r>
      <w:proofErr w:type="spellStart"/>
      <w:r>
        <w:t>Somekone</w:t>
      </w:r>
      <w:proofErr w:type="spellEnd"/>
      <w:r>
        <w:t xml:space="preserve">: </w:t>
      </w:r>
      <w:hyperlink r:id="rId8" w:history="1">
        <w:r w:rsidRPr="00FF5FC5">
          <w:rPr>
            <w:rStyle w:val="Hyperlink"/>
          </w:rPr>
          <w:t>https://somekone.gen-ai.fi/</w:t>
        </w:r>
      </w:hyperlink>
      <w:r>
        <w:t xml:space="preserve"> </w:t>
      </w:r>
      <w:r w:rsidR="00704487">
        <w:t>(</w:t>
      </w:r>
      <w:r w:rsidR="00E84266">
        <w:t xml:space="preserve">AI and </w:t>
      </w:r>
      <w:r w:rsidR="00704487">
        <w:t>media education)</w:t>
      </w:r>
    </w:p>
    <w:p w14:paraId="32DEF894" w14:textId="71F1C9DA" w:rsidR="00FE2DF3" w:rsidRDefault="00FE2DF3" w:rsidP="00FE2DF3">
      <w:pPr>
        <w:pStyle w:val="BodyText"/>
      </w:pPr>
      <w:proofErr w:type="spellStart"/>
      <w:r>
        <w:t>GenAI</w:t>
      </w:r>
      <w:proofErr w:type="spellEnd"/>
      <w:r>
        <w:t xml:space="preserve"> Profiling Game: </w:t>
      </w:r>
      <w:hyperlink r:id="rId9" w:history="1">
        <w:r w:rsidRPr="00FF5FC5">
          <w:rPr>
            <w:rStyle w:val="Hyperlink"/>
          </w:rPr>
          <w:t>https://classroom.gen-ai.fi/</w:t>
        </w:r>
      </w:hyperlink>
      <w:r>
        <w:t xml:space="preserve">  </w:t>
      </w:r>
      <w:r w:rsidR="00704487">
        <w:t>(</w:t>
      </w:r>
      <w:r w:rsidR="00E84266">
        <w:t xml:space="preserve">AI and </w:t>
      </w:r>
      <w:r w:rsidR="00704487">
        <w:t>media education)</w:t>
      </w:r>
    </w:p>
    <w:p w14:paraId="62881655" w14:textId="3430754E" w:rsidR="00FE2DF3" w:rsidRDefault="00FE2DF3" w:rsidP="00FE2DF3">
      <w:pPr>
        <w:pStyle w:val="BodyText"/>
      </w:pPr>
      <w:r>
        <w:t xml:space="preserve">Teachable Robot: </w:t>
      </w:r>
      <w:hyperlink r:id="rId10" w:history="1">
        <w:r w:rsidRPr="00FF5FC5">
          <w:rPr>
            <w:rStyle w:val="Hyperlink"/>
          </w:rPr>
          <w:t>https://www.techrxiv.org/1253118</w:t>
        </w:r>
      </w:hyperlink>
      <w:r>
        <w:t xml:space="preserve"> </w:t>
      </w:r>
      <w:r w:rsidR="00704487">
        <w:t>(craft and technology education)</w:t>
      </w:r>
    </w:p>
    <w:p w14:paraId="49611DC9" w14:textId="2D7C9793" w:rsidR="00704487" w:rsidRDefault="00704487" w:rsidP="00704487">
      <w:pPr>
        <w:pStyle w:val="BodyText"/>
        <w:ind w:firstLine="0"/>
      </w:pPr>
      <w:r>
        <w:t xml:space="preserve">Below we present to more detail two of these tools, </w:t>
      </w:r>
      <w:proofErr w:type="spellStart"/>
      <w:r>
        <w:t>GenAI</w:t>
      </w:r>
      <w:proofErr w:type="spellEnd"/>
      <w:r>
        <w:t xml:space="preserve"> TM and </w:t>
      </w:r>
      <w:proofErr w:type="spellStart"/>
      <w:r>
        <w:t>GenAI</w:t>
      </w:r>
      <w:proofErr w:type="spellEnd"/>
      <w:r>
        <w:t xml:space="preserve"> </w:t>
      </w:r>
      <w:proofErr w:type="spellStart"/>
      <w:r>
        <w:t>Somekone</w:t>
      </w:r>
      <w:proofErr w:type="spellEnd"/>
      <w:r w:rsidR="00FF3A01">
        <w:t>, and outline the pedagogical ideas that drove the development of the tools and classroom interventions</w:t>
      </w:r>
      <w:r>
        <w:t>.</w:t>
      </w:r>
    </w:p>
    <w:p w14:paraId="42424D8C" w14:textId="3BD434A4" w:rsidR="00704487" w:rsidRPr="00DB41F7" w:rsidRDefault="00704487" w:rsidP="00704487">
      <w:pPr>
        <w:pStyle w:val="Heading3"/>
        <w:ind w:firstLine="0"/>
      </w:pPr>
      <w:proofErr w:type="spellStart"/>
      <w:r>
        <w:t>GenAI</w:t>
      </w:r>
      <w:proofErr w:type="spellEnd"/>
      <w:r>
        <w:t xml:space="preserve"> Teachable Machine</w:t>
      </w:r>
    </w:p>
    <w:p w14:paraId="21EB3A57" w14:textId="406D73F4" w:rsidR="00FE2DF3" w:rsidRDefault="00FE2DF3" w:rsidP="00FE2DF3">
      <w:pPr>
        <w:pStyle w:val="BodyText"/>
      </w:pPr>
      <w:r w:rsidRPr="00FE2DF3">
        <w:t xml:space="preserve">The </w:t>
      </w:r>
      <w:proofErr w:type="spellStart"/>
      <w:r w:rsidRPr="00FE2DF3">
        <w:t>GenAI</w:t>
      </w:r>
      <w:proofErr w:type="spellEnd"/>
      <w:r w:rsidRPr="00FE2DF3">
        <w:t xml:space="preserve"> Teachable Machine</w:t>
      </w:r>
      <w:r>
        <w:t xml:space="preserve"> (designed and developed by</w:t>
      </w:r>
      <w:r w:rsidR="00D00E88">
        <w:t xml:space="preserve"> Nicolas</w:t>
      </w:r>
      <w:r>
        <w:t xml:space="preserve"> Pope et al. (2024))</w:t>
      </w:r>
      <w:r w:rsidRPr="00FE2DF3">
        <w:t xml:space="preserve"> is a no-code mobile app studio that lets young learners to work with machine learning</w:t>
      </w:r>
      <w:r w:rsidR="00704487">
        <w:t xml:space="preserve"> (ML)</w:t>
      </w:r>
      <w:r w:rsidRPr="00FE2DF3">
        <w:t xml:space="preserve"> by creating their own </w:t>
      </w:r>
      <w:r w:rsidR="00704487">
        <w:t>ML</w:t>
      </w:r>
      <w:r w:rsidRPr="00FE2DF3">
        <w:t xml:space="preserve">-driven applications. This tool simplifies the complex processes of </w:t>
      </w:r>
      <w:r w:rsidR="00704487">
        <w:t>ML</w:t>
      </w:r>
      <w:r w:rsidRPr="00FE2DF3">
        <w:t xml:space="preserve"> into a user-friendly environment. Students can train models using their own data, experiment with various AI actions, and deploy their creations as standalone mobile apps, fostering a hands-on understanding of supervised learning and AI workflows.</w:t>
      </w:r>
      <w:r>
        <w:t xml:space="preserve">  Fig. 1 presents the workflow and concepts addressed at each step.</w:t>
      </w:r>
    </w:p>
    <w:p w14:paraId="47656598" w14:textId="5D31F070" w:rsidR="00FE2DF3" w:rsidRPr="00E05A02" w:rsidRDefault="00FE2DF3" w:rsidP="00FE2DF3">
      <w:pPr>
        <w:pStyle w:val="FigTitle"/>
        <w:ind w:firstLine="0"/>
        <w:jc w:val="both"/>
      </w:pPr>
      <w:r>
        <w:rPr>
          <w:noProof/>
        </w:rPr>
        <w:drawing>
          <wp:inline distT="0" distB="0" distL="0" distR="0" wp14:anchorId="166FE05A" wp14:editId="79FC612C">
            <wp:extent cx="5751830" cy="2171700"/>
            <wp:effectExtent l="0" t="0" r="1270" b="0"/>
            <wp:docPr id="446780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80205" name="Picture 1" descr="A screenshot of a computer&#10;&#10;Description automatically generated"/>
                    <pic:cNvPicPr/>
                  </pic:nvPicPr>
                  <pic:blipFill>
                    <a:blip r:embed="rId11"/>
                    <a:stretch>
                      <a:fillRect/>
                    </a:stretch>
                  </pic:blipFill>
                  <pic:spPr>
                    <a:xfrm>
                      <a:off x="0" y="0"/>
                      <a:ext cx="5751830" cy="2171700"/>
                    </a:xfrm>
                    <a:prstGeom prst="rect">
                      <a:avLst/>
                    </a:prstGeom>
                  </pic:spPr>
                </pic:pic>
              </a:graphicData>
            </a:graphic>
          </wp:inline>
        </w:drawing>
      </w:r>
    </w:p>
    <w:p w14:paraId="17F7617F" w14:textId="22A56843" w:rsidR="00FE2DF3" w:rsidRPr="008863B4" w:rsidRDefault="00FE2DF3" w:rsidP="00FE2DF3">
      <w:pPr>
        <w:pStyle w:val="FigTitle"/>
      </w:pPr>
      <w:r w:rsidRPr="008863B4">
        <w:t xml:space="preserve">Figure 1: </w:t>
      </w:r>
      <w:r>
        <w:t xml:space="preserve">The </w:t>
      </w:r>
      <w:proofErr w:type="spellStart"/>
      <w:r>
        <w:t>GenAI</w:t>
      </w:r>
      <w:proofErr w:type="spellEnd"/>
      <w:r>
        <w:t xml:space="preserve"> Teachable Machine Workflow and </w:t>
      </w:r>
      <w:r w:rsidR="00704487">
        <w:t xml:space="preserve">Some </w:t>
      </w:r>
      <w:r>
        <w:t>Concepts Addressed</w:t>
      </w:r>
    </w:p>
    <w:p w14:paraId="36F36B3A" w14:textId="1E732152" w:rsidR="00FE2DF3" w:rsidRDefault="00FE2DF3" w:rsidP="00704487">
      <w:pPr>
        <w:pStyle w:val="BodyText"/>
      </w:pPr>
      <w:r>
        <w:t>The first stages of the workflow are similar to Google’s popular TM2</w:t>
      </w:r>
      <w:r w:rsidR="00704487">
        <w:t xml:space="preserve"> (Pope et al., 2024)</w:t>
      </w:r>
      <w:r>
        <w:t xml:space="preserve">: The </w:t>
      </w:r>
      <w:proofErr w:type="gramStart"/>
      <w:r>
        <w:t>user names</w:t>
      </w:r>
      <w:proofErr w:type="gramEnd"/>
      <w:r>
        <w:t xml:space="preserve"> each class </w:t>
      </w:r>
      <w:r w:rsidR="00704487">
        <w:rPr>
          <w:rFonts w:ascii="Segoe UI Symbol" w:hAnsi="Segoe UI Symbol"/>
        </w:rPr>
        <w:t>⓵</w:t>
      </w:r>
      <w:r>
        <w:t xml:space="preserve">, and populates it with </w:t>
      </w:r>
      <w:r w:rsidR="00704487">
        <w:t>images</w:t>
      </w:r>
      <w:r>
        <w:t xml:space="preserve"> either dragging and dropping, uploading, using the webcam to capture images</w:t>
      </w:r>
      <w:r w:rsidR="00704487">
        <w:t xml:space="preserve">, connecting a mobile phone to capture images, </w:t>
      </w:r>
      <w:r>
        <w:t xml:space="preserve">or by </w:t>
      </w:r>
      <w:r w:rsidR="00704487">
        <w:t>adding</w:t>
      </w:r>
      <w:r>
        <w:t xml:space="preserve"> any number of friends' devices to </w:t>
      </w:r>
      <w:r w:rsidR="00704487">
        <w:t xml:space="preserve">collaboratively add images </w:t>
      </w:r>
      <w:r w:rsidR="00704487">
        <w:rPr>
          <w:rFonts w:ascii="Segoe UI Symbol" w:hAnsi="Segoe UI Symbol"/>
        </w:rPr>
        <w:t>⓶</w:t>
      </w:r>
      <w:r>
        <w:t xml:space="preserve">.  </w:t>
      </w:r>
      <w:r w:rsidR="00704487">
        <w:t>D</w:t>
      </w:r>
      <w:r>
        <w:t xml:space="preserve">ata </w:t>
      </w:r>
      <w:r w:rsidR="00704487">
        <w:t xml:space="preserve">can be curated </w:t>
      </w:r>
      <w:r>
        <w:t xml:space="preserve">by moving </w:t>
      </w:r>
      <w:r w:rsidR="00704487">
        <w:t>images</w:t>
      </w:r>
      <w:r>
        <w:t xml:space="preserve"> between classes or removing </w:t>
      </w:r>
      <w:r w:rsidR="00704487">
        <w:t xml:space="preserve">images </w:t>
      </w:r>
      <w:r w:rsidR="00704487">
        <w:rPr>
          <w:rFonts w:ascii="Segoe UI Symbol" w:hAnsi="Segoe UI Symbol"/>
        </w:rPr>
        <w:t>⓶</w:t>
      </w:r>
      <w:r>
        <w:t>.  New classes can be added</w:t>
      </w:r>
      <w:r w:rsidR="00704487">
        <w:t xml:space="preserve"> </w:t>
      </w:r>
      <w:r w:rsidR="00704487">
        <w:rPr>
          <w:rFonts w:ascii="Segoe UI Symbol" w:hAnsi="Segoe UI Symbol"/>
        </w:rPr>
        <w:t xml:space="preserve">⓷. </w:t>
      </w:r>
      <w:r>
        <w:t xml:space="preserve">The data collection and curation stage present four key concepts: training data, example, class, and name.  After the data curation, user proceeds to train the classifier </w:t>
      </w:r>
      <w:r w:rsidR="00704487">
        <w:rPr>
          <w:rFonts w:ascii="Segoe UI Symbol" w:hAnsi="Segoe UI Symbol"/>
        </w:rPr>
        <w:t>⓸</w:t>
      </w:r>
      <w:r>
        <w:t>.</w:t>
      </w:r>
      <w:r w:rsidR="00704487">
        <w:t xml:space="preserve">  </w:t>
      </w:r>
    </w:p>
    <w:p w14:paraId="532FD1BD" w14:textId="4BC58EF4" w:rsidR="00FE2DF3" w:rsidRDefault="00FE2DF3" w:rsidP="00FE2DF3">
      <w:pPr>
        <w:pStyle w:val="BodyText"/>
      </w:pPr>
      <w:r>
        <w:t xml:space="preserve">The tool interface </w:t>
      </w:r>
      <w:r w:rsidR="00704487">
        <w:t xml:space="preserve">conceptually </w:t>
      </w:r>
      <w:r>
        <w:t xml:space="preserve">separates the trained classifier </w:t>
      </w:r>
      <w:r w:rsidR="00704487">
        <w:rPr>
          <w:rFonts w:ascii="Segoe UI Symbol" w:hAnsi="Segoe UI Symbol"/>
        </w:rPr>
        <w:t>⓹</w:t>
      </w:r>
      <w:r>
        <w:t xml:space="preserve"> and the input mechanism</w:t>
      </w:r>
      <w:r w:rsidR="00704487">
        <w:t xml:space="preserve"> </w:t>
      </w:r>
      <w:r w:rsidR="00704487">
        <w:rPr>
          <w:rFonts w:ascii="Segoe UI Symbol" w:hAnsi="Segoe UI Symbol"/>
        </w:rPr>
        <w:t>⓺</w:t>
      </w:r>
      <w:r>
        <w:t>.  G</w:t>
      </w:r>
      <w:r w:rsidR="00704487">
        <w:t xml:space="preserve">oogle </w:t>
      </w:r>
      <w:r>
        <w:t xml:space="preserve">TM2's advanced options (like adjustment of epochs, batch size, and learning rate) are hidden </w:t>
      </w:r>
      <w:r>
        <w:lastRenderedPageBreak/>
        <w:t>for novice users</w:t>
      </w:r>
      <w:r w:rsidR="00704487">
        <w:t xml:space="preserve">, </w:t>
      </w:r>
      <w:proofErr w:type="gramStart"/>
      <w:r w:rsidR="00704487">
        <w:t>and also</w:t>
      </w:r>
      <w:proofErr w:type="gramEnd"/>
      <w:r w:rsidR="00704487">
        <w:t xml:space="preserve"> a</w:t>
      </w:r>
      <w:r>
        <w:t>nalytics, such as confusion matrix, accuracy, and loss per epoch, can only be accessed through an API.</w:t>
      </w:r>
      <w:r w:rsidR="00704487">
        <w:t xml:space="preserve">  </w:t>
      </w:r>
    </w:p>
    <w:p w14:paraId="74D8C59C" w14:textId="42110854" w:rsidR="00FE2DF3" w:rsidRDefault="00704487" w:rsidP="00704487">
      <w:pPr>
        <w:pStyle w:val="BodyText"/>
      </w:pPr>
      <w:r>
        <w:t xml:space="preserve">Unlike other tools available, the users </w:t>
      </w:r>
      <w:r w:rsidR="00FE2DF3">
        <w:t>create a standalone app by connecting classifier results to actions (sound, text, image</w:t>
      </w:r>
      <w:r>
        <w:t>, link</w:t>
      </w:r>
      <w:r w:rsidR="00FE2DF3">
        <w:t>).</w:t>
      </w:r>
      <w:r>
        <w:t xml:space="preserve"> </w:t>
      </w:r>
      <w:r w:rsidR="00FE2DF3">
        <w:t xml:space="preserve">Elements </w:t>
      </w:r>
      <w:r>
        <w:rPr>
          <w:rFonts w:ascii="Segoe UI Symbol" w:hAnsi="Segoe UI Symbol"/>
        </w:rPr>
        <w:t>⓻</w:t>
      </w:r>
      <w:r w:rsidR="00FE2DF3">
        <w:t xml:space="preserve"> to </w:t>
      </w:r>
      <w:r>
        <w:rPr>
          <w:rFonts w:ascii="Segoe UI Symbol" w:hAnsi="Segoe UI Symbol"/>
        </w:rPr>
        <w:t xml:space="preserve">⓽ </w:t>
      </w:r>
      <w:r w:rsidR="00FE2DF3">
        <w:t xml:space="preserve">are not found in the GTM2 or other existing tools.  The user defines zero to four actions for each class </w:t>
      </w:r>
      <w:r>
        <w:rPr>
          <w:rFonts w:ascii="Segoe UI Symbol" w:hAnsi="Segoe UI Symbol"/>
        </w:rPr>
        <w:t>⓻</w:t>
      </w:r>
      <w:r w:rsidR="00FE2DF3">
        <w:t xml:space="preserve">. Those actions are triggered by the classifier result </w:t>
      </w:r>
      <w:r>
        <w:rPr>
          <w:rFonts w:ascii="Segoe UI Symbol" w:hAnsi="Segoe UI Symbol"/>
        </w:rPr>
        <w:t>⓹</w:t>
      </w:r>
      <w:r w:rsidR="00FE2DF3">
        <w:t xml:space="preserve">.  Images can be uploaded or drag </w:t>
      </w:r>
      <w:r>
        <w:t>&amp;</w:t>
      </w:r>
      <w:r w:rsidR="00FE2DF3">
        <w:t xml:space="preserve"> dropped, and sounds can also be recorded in the tool </w:t>
      </w:r>
      <w:r>
        <w:rPr>
          <w:rFonts w:ascii="Segoe UI Symbol" w:hAnsi="Segoe UI Symbol"/>
        </w:rPr>
        <w:t>⓻</w:t>
      </w:r>
      <w:r w:rsidR="00FE2DF3">
        <w:t xml:space="preserve">.  </w:t>
      </w:r>
      <w:r>
        <w:t>Users can test their</w:t>
      </w:r>
      <w:r w:rsidR="00FE2DF3">
        <w:t xml:space="preserve"> live app</w:t>
      </w:r>
      <w:r>
        <w:t>s using the</w:t>
      </w:r>
      <w:r w:rsidR="00FE2DF3">
        <w:t xml:space="preserve"> preview component </w:t>
      </w:r>
      <w:r>
        <w:rPr>
          <w:rFonts w:ascii="Segoe UI Symbol" w:hAnsi="Segoe UI Symbol"/>
        </w:rPr>
        <w:t>⓼</w:t>
      </w:r>
      <w:r w:rsidR="00FE2DF3">
        <w:t xml:space="preserve">, which dynamically shows the actions triggered by the classifier, enhancing children's understanding of the interrelations between the parts. The ready app is deployable in a new browser tab, and shareable to classmates' devices through a QR code </w:t>
      </w:r>
      <w:r>
        <w:rPr>
          <w:rFonts w:ascii="Segoe UI Symbol" w:hAnsi="Segoe UI Symbol"/>
        </w:rPr>
        <w:t>⓽</w:t>
      </w:r>
      <w:r w:rsidR="00FE2DF3">
        <w:t xml:space="preserve">.  No data are stored or processed outside the classroom.  </w:t>
      </w:r>
    </w:p>
    <w:p w14:paraId="609A2921" w14:textId="77777777" w:rsidR="00704487" w:rsidRDefault="00704487" w:rsidP="00704487">
      <w:pPr>
        <w:pStyle w:val="BodyText"/>
      </w:pPr>
    </w:p>
    <w:p w14:paraId="18DD28A5" w14:textId="33571B3E" w:rsidR="00704487" w:rsidRPr="00DB41F7" w:rsidRDefault="00704487" w:rsidP="00704487">
      <w:pPr>
        <w:pStyle w:val="Heading3"/>
        <w:ind w:firstLine="0"/>
      </w:pPr>
      <w:proofErr w:type="spellStart"/>
      <w:r>
        <w:t>GenAI</w:t>
      </w:r>
      <w:proofErr w:type="spellEnd"/>
      <w:r>
        <w:t xml:space="preserve"> </w:t>
      </w:r>
      <w:proofErr w:type="spellStart"/>
      <w:r>
        <w:t>Somekone</w:t>
      </w:r>
      <w:proofErr w:type="spellEnd"/>
    </w:p>
    <w:p w14:paraId="473A77DF" w14:textId="26A7FDEA" w:rsidR="00704487" w:rsidRDefault="00FE2DF3" w:rsidP="00704487">
      <w:pPr>
        <w:pStyle w:val="BodyText"/>
      </w:pPr>
      <w:proofErr w:type="spellStart"/>
      <w:r w:rsidRPr="00FE2DF3">
        <w:t>Somekone</w:t>
      </w:r>
      <w:proofErr w:type="spellEnd"/>
      <w:r w:rsidR="005549BF">
        <w:t xml:space="preserve"> (Pope et al., 2024b)</w:t>
      </w:r>
      <w:r w:rsidRPr="00FE2DF3">
        <w:t xml:space="preserve"> immerses students in the realm of social media algorithms. </w:t>
      </w:r>
      <w:r w:rsidR="00704487">
        <w:t>Its Instagram-like interface is designed for exploring</w:t>
      </w:r>
      <w:r w:rsidR="00704487" w:rsidRPr="00704487">
        <w:t xml:space="preserve"> key AI concepts, including </w:t>
      </w:r>
      <w:r w:rsidR="00704487">
        <w:t xml:space="preserve">1) </w:t>
      </w:r>
      <w:r w:rsidR="00704487" w:rsidRPr="00704487">
        <w:t xml:space="preserve">data collection, </w:t>
      </w:r>
      <w:r w:rsidR="00704487">
        <w:t xml:space="preserve">2) </w:t>
      </w:r>
      <w:r w:rsidR="00704487" w:rsidRPr="00704487">
        <w:t xml:space="preserve">profiling, </w:t>
      </w:r>
      <w:r w:rsidR="00704487">
        <w:t xml:space="preserve">3) </w:t>
      </w:r>
      <w:r w:rsidR="00704487" w:rsidRPr="00704487">
        <w:t xml:space="preserve">engagement, and </w:t>
      </w:r>
      <w:r w:rsidR="00704487">
        <w:t xml:space="preserve">4) </w:t>
      </w:r>
      <w:r w:rsidR="00704487" w:rsidRPr="00704487">
        <w:t xml:space="preserve">content recommendation.  In addition to individual views on students' devices, </w:t>
      </w:r>
      <w:proofErr w:type="spellStart"/>
      <w:r w:rsidR="00704487" w:rsidRPr="00704487">
        <w:t>Somekone</w:t>
      </w:r>
      <w:proofErr w:type="spellEnd"/>
      <w:r w:rsidR="00704487" w:rsidRPr="00704487">
        <w:t xml:space="preserve"> offers a teacher's view on the classroom projector, which can also illustrate </w:t>
      </w:r>
      <w:r w:rsidR="00704487">
        <w:t>5)</w:t>
      </w:r>
      <w:r w:rsidR="00704487" w:rsidRPr="00704487">
        <w:t xml:space="preserve"> clustering through clustered and color-coded social networks, </w:t>
      </w:r>
      <w:r w:rsidR="00704487">
        <w:t>6)</w:t>
      </w:r>
      <w:r w:rsidR="00704487" w:rsidRPr="00704487">
        <w:t xml:space="preserve"> co-engagement by showing networks of images liked by the same users, </w:t>
      </w:r>
      <w:r w:rsidR="00704487">
        <w:t>7</w:t>
      </w:r>
      <w:r w:rsidR="00704487" w:rsidRPr="00704487">
        <w:t xml:space="preserve">) topic affinity by grouping #hashtags liked by the same users, and </w:t>
      </w:r>
      <w:r w:rsidR="00704487">
        <w:t>8</w:t>
      </w:r>
      <w:r w:rsidR="00704487" w:rsidRPr="00704487">
        <w:t>) recommendation algorithms through heat maps that visualize how different recommendation algorithms impact what content a user is likely to be shown and what content the user is likely not shown.</w:t>
      </w:r>
      <w:r w:rsidR="00704487">
        <w:t xml:space="preserve"> </w:t>
      </w:r>
      <w:r w:rsidRPr="00FE2DF3">
        <w:t>Th</w:t>
      </w:r>
      <w:r w:rsidR="00704487">
        <w:t>e</w:t>
      </w:r>
      <w:r w:rsidRPr="00FE2DF3">
        <w:t xml:space="preserve"> tool is aimed at demystifying how social media platforms tailor user experiences, and it provides a platform for discussing the ethical and societal implications of AI technologies in classroom settings</w:t>
      </w:r>
      <w:r w:rsidR="00704487">
        <w:t>.</w:t>
      </w:r>
    </w:p>
    <w:p w14:paraId="75CD69A3" w14:textId="4E8520A0" w:rsidR="00704487" w:rsidRDefault="00704487" w:rsidP="00704487">
      <w:pPr>
        <w:pStyle w:val="FigTitle"/>
      </w:pPr>
      <w:r>
        <w:rPr>
          <w:noProof/>
        </w:rPr>
        <w:drawing>
          <wp:inline distT="0" distB="0" distL="0" distR="0" wp14:anchorId="04BC0847" wp14:editId="1CEBBB1D">
            <wp:extent cx="1053426" cy="1873695"/>
            <wp:effectExtent l="0" t="0" r="1270" b="0"/>
            <wp:docPr id="2109597194" name="Picture 2" descr="A screenshot of a football player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7194" name="Picture 2" descr="A screenshot of a football player kicking a football ball&#10;&#10;Description automatically generated"/>
                    <pic:cNvPicPr/>
                  </pic:nvPicPr>
                  <pic:blipFill>
                    <a:blip r:embed="rId12"/>
                    <a:stretch>
                      <a:fillRect/>
                    </a:stretch>
                  </pic:blipFill>
                  <pic:spPr>
                    <a:xfrm flipH="1">
                      <a:off x="0" y="0"/>
                      <a:ext cx="1096325" cy="1949999"/>
                    </a:xfrm>
                    <a:prstGeom prst="rect">
                      <a:avLst/>
                    </a:prstGeom>
                  </pic:spPr>
                </pic:pic>
              </a:graphicData>
            </a:graphic>
          </wp:inline>
        </w:drawing>
      </w:r>
      <w:r>
        <w:t xml:space="preserve">  </w:t>
      </w:r>
      <w:r>
        <w:rPr>
          <w:noProof/>
        </w:rPr>
        <w:drawing>
          <wp:inline distT="0" distB="0" distL="0" distR="0" wp14:anchorId="227E49EB" wp14:editId="2474654C">
            <wp:extent cx="1211606" cy="1883659"/>
            <wp:effectExtent l="0" t="0" r="0" b="0"/>
            <wp:docPr id="569658589"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58589" name="Picture 5" descr="A screenshot of a 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6684" cy="1922647"/>
                    </a:xfrm>
                    <a:prstGeom prst="rect">
                      <a:avLst/>
                    </a:prstGeom>
                  </pic:spPr>
                </pic:pic>
              </a:graphicData>
            </a:graphic>
          </wp:inline>
        </w:drawing>
      </w:r>
      <w:r>
        <w:t xml:space="preserve">  </w:t>
      </w:r>
      <w:r>
        <w:rPr>
          <w:noProof/>
        </w:rPr>
        <w:drawing>
          <wp:inline distT="0" distB="0" distL="0" distR="0" wp14:anchorId="2A7E796D" wp14:editId="2C5FDECA">
            <wp:extent cx="2853090" cy="1882638"/>
            <wp:effectExtent l="0" t="0" r="4445" b="0"/>
            <wp:docPr id="1679804812" name="Picture 3" descr="A group of kids looking at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4812" name="Picture 3" descr="A group of kids looking at a large screen&#10;&#10;Description automatically generated"/>
                    <pic:cNvPicPr/>
                  </pic:nvPicPr>
                  <pic:blipFill>
                    <a:blip r:embed="rId14"/>
                    <a:stretch>
                      <a:fillRect/>
                    </a:stretch>
                  </pic:blipFill>
                  <pic:spPr>
                    <a:xfrm>
                      <a:off x="0" y="0"/>
                      <a:ext cx="2981401" cy="1967305"/>
                    </a:xfrm>
                    <a:prstGeom prst="rect">
                      <a:avLst/>
                    </a:prstGeom>
                  </pic:spPr>
                </pic:pic>
              </a:graphicData>
            </a:graphic>
          </wp:inline>
        </w:drawing>
      </w:r>
    </w:p>
    <w:p w14:paraId="3438AC7B" w14:textId="78803B2B" w:rsidR="00704487" w:rsidRDefault="00704487" w:rsidP="00704487">
      <w:pPr>
        <w:pStyle w:val="FigTitle"/>
      </w:pPr>
      <w:r w:rsidRPr="008863B4">
        <w:t xml:space="preserve">Figure </w:t>
      </w:r>
      <w:r>
        <w:t>2</w:t>
      </w:r>
      <w:r w:rsidRPr="008863B4">
        <w:t>:</w:t>
      </w:r>
      <w:r>
        <w:t xml:space="preserve"> </w:t>
      </w:r>
      <w:proofErr w:type="spellStart"/>
      <w:r>
        <w:t>Somekone’s</w:t>
      </w:r>
      <w:proofErr w:type="spellEnd"/>
      <w:r>
        <w:t xml:space="preserve"> Instagram-style interface and some XAI and classroom views</w:t>
      </w:r>
    </w:p>
    <w:p w14:paraId="4619354F" w14:textId="5C132F77" w:rsidR="00704487" w:rsidRDefault="00704487" w:rsidP="00704487">
      <w:pPr>
        <w:pStyle w:val="Heading3"/>
        <w:ind w:firstLine="0"/>
      </w:pPr>
      <w:r>
        <w:t xml:space="preserve">Pedagogy of AI Education with </w:t>
      </w:r>
      <w:proofErr w:type="spellStart"/>
      <w:r>
        <w:t>Somekone</w:t>
      </w:r>
      <w:proofErr w:type="spellEnd"/>
      <w:r>
        <w:t xml:space="preserve"> and </w:t>
      </w:r>
      <w:proofErr w:type="spellStart"/>
      <w:r>
        <w:t>GenAI</w:t>
      </w:r>
      <w:proofErr w:type="spellEnd"/>
      <w:r>
        <w:t xml:space="preserve"> TM</w:t>
      </w:r>
    </w:p>
    <w:p w14:paraId="4ED5AEDD" w14:textId="77777777" w:rsidR="00FF3A01" w:rsidRPr="00FF3A01" w:rsidRDefault="00FF3A01" w:rsidP="00FF3A01"/>
    <w:p w14:paraId="2F99DD8D" w14:textId="1E397644" w:rsidR="00D521E7" w:rsidRPr="005549BF" w:rsidRDefault="00D521E7" w:rsidP="00A1240D">
      <w:pPr>
        <w:pStyle w:val="BodyText"/>
        <w:rPr>
          <w:color w:val="000000" w:themeColor="text1"/>
        </w:rPr>
      </w:pPr>
      <w:r w:rsidRPr="005549BF">
        <w:rPr>
          <w:color w:val="000000" w:themeColor="text1"/>
        </w:rPr>
        <w:t>Our experience with these tools underscores the importance of scaffolding students' conceptual understanding, agentive actions and ethical awareness by providing tools, materials, and tailored pedagogical models that altogether contextualize complex AI concepts and make them concrete, visible, and meaningful</w:t>
      </w:r>
      <w:r w:rsidR="005549BF">
        <w:rPr>
          <w:color w:val="000000" w:themeColor="text1"/>
        </w:rPr>
        <w:t xml:space="preserve"> (Toivonen et al., 2020; </w:t>
      </w:r>
      <w:proofErr w:type="spellStart"/>
      <w:r w:rsidR="005549BF">
        <w:rPr>
          <w:color w:val="000000" w:themeColor="text1"/>
        </w:rPr>
        <w:t>Vartiainen</w:t>
      </w:r>
      <w:proofErr w:type="spellEnd"/>
      <w:r w:rsidR="005549BF">
        <w:rPr>
          <w:color w:val="000000" w:themeColor="text1"/>
        </w:rPr>
        <w:t xml:space="preserve"> et al., 2024; Lin et al., 2025; </w:t>
      </w:r>
      <w:proofErr w:type="spellStart"/>
      <w:r w:rsidR="005549BF">
        <w:rPr>
          <w:color w:val="000000" w:themeColor="text1"/>
        </w:rPr>
        <w:t>Vartiainen</w:t>
      </w:r>
      <w:proofErr w:type="spellEnd"/>
      <w:r w:rsidR="005549BF">
        <w:rPr>
          <w:color w:val="000000" w:themeColor="text1"/>
        </w:rPr>
        <w:t xml:space="preserve"> et al., 2021)</w:t>
      </w:r>
      <w:r w:rsidRPr="005549BF">
        <w:rPr>
          <w:color w:val="000000" w:themeColor="text1"/>
        </w:rPr>
        <w:t>.</w:t>
      </w:r>
    </w:p>
    <w:p w14:paraId="5D86E123" w14:textId="3D7B963E" w:rsidR="00D521E7" w:rsidRPr="005549BF" w:rsidRDefault="00D521E7" w:rsidP="00A1240D">
      <w:pPr>
        <w:pStyle w:val="BodyText"/>
        <w:rPr>
          <w:color w:val="000000" w:themeColor="text1"/>
        </w:rPr>
      </w:pPr>
      <w:r w:rsidRPr="005549BF">
        <w:rPr>
          <w:color w:val="000000" w:themeColor="text1"/>
        </w:rPr>
        <w:t xml:space="preserve">Grounded in design-oriented pedagogy, the </w:t>
      </w:r>
      <w:proofErr w:type="spellStart"/>
      <w:r w:rsidRPr="005549BF">
        <w:rPr>
          <w:color w:val="000000" w:themeColor="text1"/>
        </w:rPr>
        <w:t>GenAI</w:t>
      </w:r>
      <w:proofErr w:type="spellEnd"/>
      <w:r w:rsidRPr="005549BF">
        <w:rPr>
          <w:color w:val="000000" w:themeColor="text1"/>
        </w:rPr>
        <w:t xml:space="preserve"> Teachable Machine positions children as designers and knowledge creators. It scaffolds the development of conceptual understanding of machine learning processes and workflows by enabling them to train models in real-time and to make their own apps and creative projects</w:t>
      </w:r>
      <w:r w:rsidR="005549BF">
        <w:rPr>
          <w:color w:val="000000" w:themeColor="text1"/>
        </w:rPr>
        <w:t xml:space="preserve"> (</w:t>
      </w:r>
      <w:proofErr w:type="spellStart"/>
      <w:r w:rsidR="005549BF">
        <w:rPr>
          <w:color w:val="000000" w:themeColor="text1"/>
        </w:rPr>
        <w:t>Kahila</w:t>
      </w:r>
      <w:proofErr w:type="spellEnd"/>
      <w:r w:rsidR="005549BF">
        <w:rPr>
          <w:color w:val="000000" w:themeColor="text1"/>
        </w:rPr>
        <w:t xml:space="preserve"> et al., 2024)</w:t>
      </w:r>
      <w:r w:rsidRPr="005549BF">
        <w:rPr>
          <w:color w:val="000000" w:themeColor="text1"/>
        </w:rPr>
        <w:t>. In this way, new conceptual knowledge is linked to practical applications, grounded in students' ideas and interests.</w:t>
      </w:r>
    </w:p>
    <w:p w14:paraId="048D2023" w14:textId="57CC637E" w:rsidR="00D521E7" w:rsidRPr="005549BF" w:rsidRDefault="00D521E7" w:rsidP="00A1240D">
      <w:pPr>
        <w:pStyle w:val="BodyText"/>
        <w:rPr>
          <w:color w:val="000000" w:themeColor="text1"/>
        </w:rPr>
      </w:pPr>
      <w:r w:rsidRPr="005549BF">
        <w:rPr>
          <w:color w:val="000000" w:themeColor="text1"/>
        </w:rPr>
        <w:t xml:space="preserve">The </w:t>
      </w:r>
      <w:proofErr w:type="spellStart"/>
      <w:r w:rsidRPr="005549BF">
        <w:rPr>
          <w:color w:val="000000" w:themeColor="text1"/>
        </w:rPr>
        <w:t>Somekone</w:t>
      </w:r>
      <w:proofErr w:type="spellEnd"/>
      <w:r w:rsidRPr="005549BF">
        <w:rPr>
          <w:color w:val="000000" w:themeColor="text1"/>
        </w:rPr>
        <w:t xml:space="preserve"> tool fosters collaborative learning and inquiry through hands-on experiences where children are guided to construct their conceptual understanding by testing their prior conceptions, conducting experiments, and explaining their conclusions with systematic evidence. By that way, it </w:t>
      </w:r>
      <w:r w:rsidR="00A1240D" w:rsidRPr="005549BF">
        <w:rPr>
          <w:color w:val="000000" w:themeColor="text1"/>
        </w:rPr>
        <w:t>engages</w:t>
      </w:r>
      <w:r w:rsidRPr="005549BF">
        <w:rPr>
          <w:color w:val="000000" w:themeColor="text1"/>
        </w:rPr>
        <w:t xml:space="preserve"> students in collaborative knowledge construction in which they can actively explore AI concepts, their operations, relations, and connections to everyday life.</w:t>
      </w:r>
    </w:p>
    <w:p w14:paraId="3F9CA055" w14:textId="236F3989" w:rsidR="00D521E7" w:rsidRPr="005549BF" w:rsidRDefault="00D521E7" w:rsidP="00A1240D">
      <w:pPr>
        <w:pStyle w:val="BodyText"/>
        <w:rPr>
          <w:color w:val="000000" w:themeColor="text1"/>
        </w:rPr>
      </w:pPr>
      <w:r w:rsidRPr="005549BF">
        <w:rPr>
          <w:color w:val="000000" w:themeColor="text1"/>
        </w:rPr>
        <w:lastRenderedPageBreak/>
        <w:t>The profiling game has shown a low-floor, almost unplugged approach to teaching AI-related data, profiling, and inference</w:t>
      </w:r>
      <w:r w:rsidR="005549BF">
        <w:rPr>
          <w:color w:val="000000" w:themeColor="text1"/>
        </w:rPr>
        <w:t xml:space="preserve"> (</w:t>
      </w:r>
      <w:proofErr w:type="spellStart"/>
      <w:r w:rsidR="005549BF">
        <w:rPr>
          <w:color w:val="000000" w:themeColor="text1"/>
        </w:rPr>
        <w:t>Kahila</w:t>
      </w:r>
      <w:proofErr w:type="spellEnd"/>
      <w:r w:rsidR="005549BF">
        <w:rPr>
          <w:color w:val="000000" w:themeColor="text1"/>
        </w:rPr>
        <w:t xml:space="preserve"> et al., 2024b)</w:t>
      </w:r>
      <w:r w:rsidRPr="005549BF">
        <w:rPr>
          <w:color w:val="000000" w:themeColor="text1"/>
        </w:rPr>
        <w:t>.  Through a game-based activity, it encourages students to critically analyze how AI systems categorize and influence human behavior.</w:t>
      </w:r>
    </w:p>
    <w:p w14:paraId="3455BC91" w14:textId="03860273" w:rsidR="00D521E7" w:rsidRPr="005549BF" w:rsidRDefault="00D521E7" w:rsidP="005549BF">
      <w:pPr>
        <w:pStyle w:val="BodyText"/>
        <w:rPr>
          <w:color w:val="000000" w:themeColor="text1"/>
        </w:rPr>
      </w:pPr>
      <w:r w:rsidRPr="005549BF">
        <w:rPr>
          <w:color w:val="000000" w:themeColor="text1"/>
        </w:rPr>
        <w:t>Together, such distributed scaffolding</w:t>
      </w:r>
      <w:r w:rsidR="00A1240D" w:rsidRPr="005549BF">
        <w:rPr>
          <w:color w:val="000000" w:themeColor="text1"/>
        </w:rPr>
        <w:t>- provided</w:t>
      </w:r>
      <w:r w:rsidRPr="005549BF">
        <w:rPr>
          <w:color w:val="000000" w:themeColor="text1"/>
        </w:rPr>
        <w:t xml:space="preserve"> through multiple affordances such as educational technology, curriculum materials, peer discussions, and teacher facilitation—</w:t>
      </w:r>
      <w:r w:rsidR="00A1240D" w:rsidRPr="005549BF">
        <w:rPr>
          <w:color w:val="000000" w:themeColor="text1"/>
        </w:rPr>
        <w:t>is essential</w:t>
      </w:r>
      <w:r w:rsidRPr="005549BF">
        <w:rPr>
          <w:color w:val="000000" w:themeColor="text1"/>
        </w:rPr>
        <w:t xml:space="preserve"> not only for cultivating conceptual understanding, but also for supporting critical thinking and curriculum discussions of AI ethics and AI’s societal impacts. By drawing on their own observations and shared understandings, students are empowered to collaboratively question data-driven practices and </w:t>
      </w:r>
      <w:r w:rsidR="00A1240D" w:rsidRPr="005549BF">
        <w:rPr>
          <w:color w:val="000000" w:themeColor="text1"/>
        </w:rPr>
        <w:t>mechanisms, so</w:t>
      </w:r>
      <w:r w:rsidRPr="005549BF">
        <w:rPr>
          <w:color w:val="000000" w:themeColor="text1"/>
        </w:rPr>
        <w:t xml:space="preserve"> that they can </w:t>
      </w:r>
      <w:r w:rsidR="00A1240D" w:rsidRPr="005549BF">
        <w:rPr>
          <w:color w:val="000000" w:themeColor="text1"/>
        </w:rPr>
        <w:t xml:space="preserve">also </w:t>
      </w:r>
      <w:r w:rsidRPr="005549BF">
        <w:rPr>
          <w:color w:val="000000" w:themeColor="text1"/>
        </w:rPr>
        <w:t xml:space="preserve">envision and take informed actions toward alternative possibilities. </w:t>
      </w:r>
    </w:p>
    <w:p w14:paraId="03B74074" w14:textId="3EC56084" w:rsidR="00E259FD" w:rsidRDefault="00B956F8" w:rsidP="00531AE4">
      <w:pPr>
        <w:pStyle w:val="Heading2"/>
        <w:rPr>
          <w:lang w:val="fi-FI"/>
        </w:rPr>
      </w:pPr>
      <w:proofErr w:type="spellStart"/>
      <w:r w:rsidRPr="00D521E7">
        <w:rPr>
          <w:lang w:val="fi-FI"/>
        </w:rPr>
        <w:t>References</w:t>
      </w:r>
      <w:proofErr w:type="spellEnd"/>
    </w:p>
    <w:p w14:paraId="60E95A0B" w14:textId="77777777" w:rsidR="005549BF" w:rsidRPr="005549BF" w:rsidRDefault="005549BF" w:rsidP="005549BF">
      <w:pPr>
        <w:rPr>
          <w:lang w:val="fi-FI"/>
        </w:rPr>
      </w:pPr>
    </w:p>
    <w:p w14:paraId="0D4287A9" w14:textId="4D9E5F45" w:rsidR="00FE2DF3" w:rsidRDefault="005549BF" w:rsidP="00FE2DF3">
      <w:pPr>
        <w:pStyle w:val="References"/>
        <w:jc w:val="left"/>
        <w:rPr>
          <w:lang w:val="en-GB"/>
        </w:rPr>
      </w:pPr>
      <w:proofErr w:type="spellStart"/>
      <w:r w:rsidRPr="005549BF">
        <w:rPr>
          <w:lang w:val="en-GB"/>
        </w:rPr>
        <w:t>Kahila</w:t>
      </w:r>
      <w:proofErr w:type="spellEnd"/>
      <w:r w:rsidRPr="005549BF">
        <w:rPr>
          <w:lang w:val="en-GB"/>
        </w:rPr>
        <w:t xml:space="preserve">, J., </w:t>
      </w:r>
      <w:proofErr w:type="spellStart"/>
      <w:r w:rsidRPr="005549BF">
        <w:rPr>
          <w:lang w:val="en-GB"/>
        </w:rPr>
        <w:t>Vartiainen</w:t>
      </w:r>
      <w:proofErr w:type="spellEnd"/>
      <w:r w:rsidRPr="005549BF">
        <w:rPr>
          <w:lang w:val="en-GB"/>
        </w:rPr>
        <w:t xml:space="preserve">, H., Tedre, M., </w:t>
      </w:r>
      <w:proofErr w:type="spellStart"/>
      <w:r w:rsidRPr="005549BF">
        <w:rPr>
          <w:lang w:val="en-GB"/>
        </w:rPr>
        <w:t>Arkko</w:t>
      </w:r>
      <w:proofErr w:type="spellEnd"/>
      <w:r w:rsidRPr="005549BF">
        <w:rPr>
          <w:lang w:val="en-GB"/>
        </w:rPr>
        <w:t xml:space="preserve">, E., Lin, A., Pope, N., </w:t>
      </w:r>
      <w:proofErr w:type="spellStart"/>
      <w:r w:rsidRPr="005549BF">
        <w:rPr>
          <w:lang w:val="en-GB"/>
        </w:rPr>
        <w:t>Jormanainen</w:t>
      </w:r>
      <w:proofErr w:type="spellEnd"/>
      <w:r w:rsidRPr="005549BF">
        <w:rPr>
          <w:lang w:val="en-GB"/>
        </w:rPr>
        <w:t xml:space="preserve">, I., and Valtonen, T. (2024). Pedagogical framework for cultivating children’s data agency and creative abilities in the age of </w:t>
      </w:r>
      <w:r>
        <w:rPr>
          <w:lang w:val="en-GB"/>
        </w:rPr>
        <w:t>AI</w:t>
      </w:r>
      <w:r w:rsidRPr="005549BF">
        <w:rPr>
          <w:lang w:val="en-GB"/>
        </w:rPr>
        <w:t xml:space="preserve">. </w:t>
      </w:r>
      <w:r w:rsidRPr="005549BF">
        <w:rPr>
          <w:i/>
          <w:iCs/>
          <w:lang w:val="en-GB"/>
        </w:rPr>
        <w:t>Informatics in Education</w:t>
      </w:r>
      <w:r>
        <w:rPr>
          <w:lang w:val="en-GB"/>
        </w:rPr>
        <w:t xml:space="preserve">, </w:t>
      </w:r>
      <w:r w:rsidRPr="005549BF">
        <w:rPr>
          <w:lang w:val="en-GB"/>
        </w:rPr>
        <w:t>23(2):323–360.</w:t>
      </w:r>
      <w:r>
        <w:rPr>
          <w:lang w:val="en-GB"/>
        </w:rPr>
        <w:t xml:space="preserve"> </w:t>
      </w:r>
      <w:hyperlink r:id="rId15" w:history="1">
        <w:r w:rsidRPr="00FF5FC5">
          <w:rPr>
            <w:rStyle w:val="Hyperlink"/>
            <w:lang w:val="en-GB"/>
          </w:rPr>
          <w:t>https://doi.org/10.15388/infedu.2024.15</w:t>
        </w:r>
      </w:hyperlink>
      <w:r>
        <w:rPr>
          <w:lang w:val="en-GB"/>
        </w:rPr>
        <w:t xml:space="preserve"> </w:t>
      </w:r>
    </w:p>
    <w:p w14:paraId="7D29FA80" w14:textId="22654E07" w:rsidR="005549BF" w:rsidRDefault="005549BF" w:rsidP="00FE2DF3">
      <w:pPr>
        <w:pStyle w:val="References"/>
        <w:jc w:val="left"/>
        <w:rPr>
          <w:lang w:val="en-GB"/>
        </w:rPr>
      </w:pPr>
      <w:proofErr w:type="spellStart"/>
      <w:r w:rsidRPr="005549BF">
        <w:rPr>
          <w:lang w:val="en-GB"/>
        </w:rPr>
        <w:t>Kahila</w:t>
      </w:r>
      <w:proofErr w:type="spellEnd"/>
      <w:r w:rsidRPr="005549BF">
        <w:rPr>
          <w:lang w:val="en-GB"/>
        </w:rPr>
        <w:t xml:space="preserve">, J., </w:t>
      </w:r>
      <w:proofErr w:type="spellStart"/>
      <w:r w:rsidRPr="005549BF">
        <w:rPr>
          <w:lang w:val="en-GB"/>
        </w:rPr>
        <w:t>Vartiainen</w:t>
      </w:r>
      <w:proofErr w:type="spellEnd"/>
      <w:r w:rsidRPr="005549BF">
        <w:rPr>
          <w:lang w:val="en-GB"/>
        </w:rPr>
        <w:t xml:space="preserve">, H., </w:t>
      </w:r>
      <w:proofErr w:type="spellStart"/>
      <w:r w:rsidRPr="005549BF">
        <w:rPr>
          <w:lang w:val="en-GB"/>
        </w:rPr>
        <w:t>Arkko</w:t>
      </w:r>
      <w:proofErr w:type="spellEnd"/>
      <w:r w:rsidRPr="005549BF">
        <w:rPr>
          <w:lang w:val="en-GB"/>
        </w:rPr>
        <w:t>, E., Lin, A., Pope, N., and Tedre, M. (2024</w:t>
      </w:r>
      <w:r>
        <w:rPr>
          <w:lang w:val="en-GB"/>
        </w:rPr>
        <w:t>b</w:t>
      </w:r>
      <w:r w:rsidRPr="005549BF">
        <w:rPr>
          <w:lang w:val="en-GB"/>
        </w:rPr>
        <w:t xml:space="preserve">). Enhancing understanding of data traces and profiling among K–9 students through interactive classroom game. In </w:t>
      </w:r>
      <w:r w:rsidRPr="005549BF">
        <w:rPr>
          <w:i/>
          <w:iCs/>
          <w:lang w:val="en-GB"/>
        </w:rPr>
        <w:t xml:space="preserve">Proceedings of </w:t>
      </w:r>
      <w:r w:rsidRPr="005549BF">
        <w:rPr>
          <w:i/>
          <w:iCs/>
          <w:lang w:val="en-GB"/>
        </w:rPr>
        <w:t>t</w:t>
      </w:r>
      <w:r w:rsidRPr="005549BF">
        <w:rPr>
          <w:i/>
          <w:iCs/>
          <w:lang w:val="en-GB"/>
        </w:rPr>
        <w:t xml:space="preserve">he 19th </w:t>
      </w:r>
      <w:proofErr w:type="spellStart"/>
      <w:r w:rsidRPr="005549BF">
        <w:rPr>
          <w:i/>
          <w:iCs/>
          <w:lang w:val="en-GB"/>
        </w:rPr>
        <w:t>WiPSCE</w:t>
      </w:r>
      <w:proofErr w:type="spellEnd"/>
      <w:r w:rsidRPr="005549BF">
        <w:rPr>
          <w:i/>
          <w:iCs/>
          <w:lang w:val="en-GB"/>
        </w:rPr>
        <w:t xml:space="preserve"> Conference on Primary and Secondary Computing Education Research, </w:t>
      </w:r>
      <w:proofErr w:type="spellStart"/>
      <w:r w:rsidRPr="005549BF">
        <w:rPr>
          <w:i/>
          <w:iCs/>
          <w:lang w:val="en-GB"/>
        </w:rPr>
        <w:t>WiPSCE</w:t>
      </w:r>
      <w:proofErr w:type="spellEnd"/>
      <w:r w:rsidRPr="005549BF">
        <w:rPr>
          <w:i/>
          <w:iCs/>
          <w:lang w:val="en-GB"/>
        </w:rPr>
        <w:t xml:space="preserve"> ’2</w:t>
      </w:r>
      <w:r w:rsidRPr="005549BF">
        <w:rPr>
          <w:i/>
          <w:iCs/>
          <w:lang w:val="en-GB"/>
        </w:rPr>
        <w:t>4</w:t>
      </w:r>
      <w:r w:rsidRPr="005549BF">
        <w:rPr>
          <w:lang w:val="en-GB"/>
        </w:rPr>
        <w:t>.</w:t>
      </w:r>
      <w:r>
        <w:rPr>
          <w:lang w:val="en-GB"/>
        </w:rPr>
        <w:t xml:space="preserve"> </w:t>
      </w:r>
      <w:hyperlink r:id="rId16" w:history="1">
        <w:r w:rsidRPr="00FF5FC5">
          <w:rPr>
            <w:rStyle w:val="Hyperlink"/>
            <w:lang w:val="en-GB"/>
          </w:rPr>
          <w:t>https://doi.org/10.1145/3677619.3677635</w:t>
        </w:r>
      </w:hyperlink>
      <w:r>
        <w:rPr>
          <w:lang w:val="en-GB"/>
        </w:rPr>
        <w:t xml:space="preserve"> </w:t>
      </w:r>
    </w:p>
    <w:p w14:paraId="5A92409D" w14:textId="45BD3A27" w:rsidR="005549BF" w:rsidRPr="005549BF" w:rsidRDefault="005549BF" w:rsidP="00FE2DF3">
      <w:pPr>
        <w:pStyle w:val="References"/>
        <w:jc w:val="left"/>
        <w:rPr>
          <w:lang w:val="fi-FI"/>
        </w:rPr>
      </w:pPr>
      <w:r w:rsidRPr="005549BF">
        <w:rPr>
          <w:lang w:val="fi-FI"/>
        </w:rPr>
        <w:t xml:space="preserve">Lin, A., Salonen, A., </w:t>
      </w:r>
      <w:proofErr w:type="spellStart"/>
      <w:r w:rsidRPr="005549BF">
        <w:rPr>
          <w:lang w:val="fi-FI"/>
        </w:rPr>
        <w:t>Pope</w:t>
      </w:r>
      <w:proofErr w:type="spellEnd"/>
      <w:r w:rsidRPr="005549BF">
        <w:rPr>
          <w:lang w:val="fi-FI"/>
        </w:rPr>
        <w:t xml:space="preserve">, N., Vartiainen, H., and Tedre, M. (2025). A </w:t>
      </w:r>
      <w:proofErr w:type="spellStart"/>
      <w:r w:rsidRPr="005549BF">
        <w:rPr>
          <w:lang w:val="fi-FI"/>
        </w:rPr>
        <w:t>versatile</w:t>
      </w:r>
      <w:proofErr w:type="spellEnd"/>
      <w:r w:rsidRPr="005549BF">
        <w:rPr>
          <w:lang w:val="fi-FI"/>
        </w:rPr>
        <w:t xml:space="preserve"> </w:t>
      </w:r>
      <w:proofErr w:type="spellStart"/>
      <w:r w:rsidRPr="005549BF">
        <w:rPr>
          <w:lang w:val="fi-FI"/>
        </w:rPr>
        <w:t>low-cost</w:t>
      </w:r>
      <w:proofErr w:type="spellEnd"/>
      <w:r w:rsidRPr="005549BF">
        <w:rPr>
          <w:lang w:val="fi-FI"/>
        </w:rPr>
        <w:t xml:space="preserve"> </w:t>
      </w:r>
      <w:proofErr w:type="spellStart"/>
      <w:r w:rsidRPr="005549BF">
        <w:rPr>
          <w:lang w:val="fi-FI"/>
        </w:rPr>
        <w:t>kit</w:t>
      </w:r>
      <w:proofErr w:type="spellEnd"/>
      <w:r w:rsidRPr="005549BF">
        <w:rPr>
          <w:lang w:val="fi-FI"/>
        </w:rPr>
        <w:t xml:space="preserve"> for </w:t>
      </w:r>
      <w:proofErr w:type="spellStart"/>
      <w:r w:rsidRPr="005549BF">
        <w:rPr>
          <w:lang w:val="fi-FI"/>
        </w:rPr>
        <w:t>teaching</w:t>
      </w:r>
      <w:proofErr w:type="spellEnd"/>
      <w:r w:rsidRPr="005549BF">
        <w:rPr>
          <w:lang w:val="fi-FI"/>
        </w:rPr>
        <w:t xml:space="preserve"> </w:t>
      </w:r>
      <w:proofErr w:type="spellStart"/>
      <w:r w:rsidRPr="005549BF">
        <w:rPr>
          <w:lang w:val="fi-FI"/>
        </w:rPr>
        <w:t>novice</w:t>
      </w:r>
      <w:proofErr w:type="spellEnd"/>
      <w:r w:rsidRPr="005549BF">
        <w:rPr>
          <w:lang w:val="fi-FI"/>
        </w:rPr>
        <w:t xml:space="preserve"> </w:t>
      </w:r>
      <w:proofErr w:type="spellStart"/>
      <w:r w:rsidRPr="005549BF">
        <w:rPr>
          <w:lang w:val="fi-FI"/>
        </w:rPr>
        <w:t>learners</w:t>
      </w:r>
      <w:proofErr w:type="spellEnd"/>
      <w:r w:rsidRPr="005549BF">
        <w:rPr>
          <w:lang w:val="fi-FI"/>
        </w:rPr>
        <w:t xml:space="preserve"> AI </w:t>
      </w:r>
      <w:proofErr w:type="spellStart"/>
      <w:r w:rsidRPr="005549BF">
        <w:rPr>
          <w:lang w:val="fi-FI"/>
        </w:rPr>
        <w:t>using</w:t>
      </w:r>
      <w:proofErr w:type="spellEnd"/>
      <w:r w:rsidRPr="005549BF">
        <w:rPr>
          <w:lang w:val="fi-FI"/>
        </w:rPr>
        <w:t xml:space="preserve"> </w:t>
      </w:r>
      <w:proofErr w:type="spellStart"/>
      <w:r w:rsidRPr="005549BF">
        <w:rPr>
          <w:lang w:val="fi-FI"/>
        </w:rPr>
        <w:t>robotics</w:t>
      </w:r>
      <w:proofErr w:type="spellEnd"/>
      <w:r w:rsidRPr="005549BF">
        <w:rPr>
          <w:lang w:val="fi-FI"/>
        </w:rPr>
        <w:t xml:space="preserve"> </w:t>
      </w:r>
      <w:proofErr w:type="spellStart"/>
      <w:r w:rsidRPr="005549BF">
        <w:rPr>
          <w:lang w:val="fi-FI"/>
        </w:rPr>
        <w:t>components</w:t>
      </w:r>
      <w:proofErr w:type="spellEnd"/>
      <w:r w:rsidRPr="005549BF">
        <w:rPr>
          <w:lang w:val="fi-FI"/>
        </w:rPr>
        <w:t xml:space="preserve"> and a no-</w:t>
      </w:r>
      <w:proofErr w:type="spellStart"/>
      <w:r w:rsidRPr="005549BF">
        <w:rPr>
          <w:lang w:val="fi-FI"/>
        </w:rPr>
        <w:t>code</w:t>
      </w:r>
      <w:proofErr w:type="spellEnd"/>
      <w:r w:rsidRPr="005549BF">
        <w:rPr>
          <w:lang w:val="fi-FI"/>
        </w:rPr>
        <w:t xml:space="preserve"> </w:t>
      </w:r>
      <w:proofErr w:type="spellStart"/>
      <w:r w:rsidRPr="005549BF">
        <w:rPr>
          <w:lang w:val="fi-FI"/>
        </w:rPr>
        <w:t>development</w:t>
      </w:r>
      <w:proofErr w:type="spellEnd"/>
      <w:r w:rsidRPr="005549BF">
        <w:rPr>
          <w:lang w:val="fi-FI"/>
        </w:rPr>
        <w:t xml:space="preserve"> </w:t>
      </w:r>
      <w:proofErr w:type="spellStart"/>
      <w:r w:rsidRPr="005549BF">
        <w:rPr>
          <w:lang w:val="fi-FI"/>
        </w:rPr>
        <w:t>playground</w:t>
      </w:r>
      <w:proofErr w:type="spellEnd"/>
      <w:r w:rsidRPr="005549BF">
        <w:rPr>
          <w:lang w:val="fi-FI"/>
        </w:rPr>
        <w:t>.</w:t>
      </w:r>
      <w:r>
        <w:rPr>
          <w:lang w:val="fi-FI"/>
        </w:rPr>
        <w:t xml:space="preserve"> To </w:t>
      </w:r>
      <w:proofErr w:type="spellStart"/>
      <w:r>
        <w:rPr>
          <w:lang w:val="fi-FI"/>
        </w:rPr>
        <w:t>appear</w:t>
      </w:r>
      <w:proofErr w:type="spellEnd"/>
      <w:r>
        <w:rPr>
          <w:lang w:val="fi-FI"/>
        </w:rPr>
        <w:t xml:space="preserve"> in </w:t>
      </w:r>
      <w:r w:rsidRPr="005549BF">
        <w:rPr>
          <w:i/>
          <w:iCs/>
        </w:rPr>
        <w:t>Proceedings of the Thirty-Eighth AAAI Conference on Artificial Intelligence, 2025</w:t>
      </w:r>
      <w:r>
        <w:t xml:space="preserve">. </w:t>
      </w:r>
      <w:hyperlink r:id="rId17" w:history="1">
        <w:r w:rsidRPr="00FF5FC5">
          <w:rPr>
            <w:rStyle w:val="Hyperlink"/>
          </w:rPr>
          <w:t>https://www.techrxiv.org/1253118</w:t>
        </w:r>
      </w:hyperlink>
      <w:r>
        <w:t xml:space="preserve"> </w:t>
      </w:r>
    </w:p>
    <w:p w14:paraId="3C1321E0" w14:textId="40D02C5B" w:rsidR="00FE2DF3" w:rsidRDefault="00FE2DF3" w:rsidP="00FE2DF3">
      <w:pPr>
        <w:pStyle w:val="References"/>
        <w:jc w:val="left"/>
      </w:pPr>
      <w:r w:rsidRPr="00FE2DF3">
        <w:t xml:space="preserve">Pope, N., </w:t>
      </w:r>
      <w:proofErr w:type="spellStart"/>
      <w:r w:rsidRPr="00FE2DF3">
        <w:t>Vartiainen</w:t>
      </w:r>
      <w:proofErr w:type="spellEnd"/>
      <w:r w:rsidRPr="00FE2DF3">
        <w:t xml:space="preserve">, H., </w:t>
      </w:r>
      <w:proofErr w:type="spellStart"/>
      <w:r w:rsidRPr="00FE2DF3">
        <w:t>Kahila</w:t>
      </w:r>
      <w:proofErr w:type="spellEnd"/>
      <w:r w:rsidRPr="00FE2DF3">
        <w:t xml:space="preserve">, J., </w:t>
      </w:r>
      <w:proofErr w:type="spellStart"/>
      <w:r w:rsidRPr="00FE2DF3">
        <w:t>Laru</w:t>
      </w:r>
      <w:proofErr w:type="spellEnd"/>
      <w:r w:rsidRPr="00FE2DF3">
        <w:t xml:space="preserve">, J., and Tedre, M. (2024). A no-code AI education tool for learning AI in K-12 by making machine learning-driven apps. In </w:t>
      </w:r>
      <w:r w:rsidRPr="00FE2DF3">
        <w:rPr>
          <w:i/>
          <w:iCs/>
        </w:rPr>
        <w:t>2024 IEEE 24th International Conference on Advanced Learning Technologies (ICALT),</w:t>
      </w:r>
      <w:r w:rsidRPr="00FE2DF3">
        <w:t xml:space="preserve"> pages 105–109.</w:t>
      </w:r>
      <w:r>
        <w:t xml:space="preserve"> </w:t>
      </w:r>
      <w:hyperlink r:id="rId18" w:history="1">
        <w:r w:rsidRPr="00FF5FC5">
          <w:rPr>
            <w:rStyle w:val="Hyperlink"/>
          </w:rPr>
          <w:t>https://doi.org/10.1109/ICALT61570.2024.00037</w:t>
        </w:r>
      </w:hyperlink>
      <w:r>
        <w:t xml:space="preserve"> </w:t>
      </w:r>
    </w:p>
    <w:p w14:paraId="16EECB05" w14:textId="5AB6DCEA" w:rsidR="005549BF" w:rsidRDefault="005549BF" w:rsidP="005549BF">
      <w:pPr>
        <w:pStyle w:val="References"/>
        <w:jc w:val="left"/>
      </w:pPr>
      <w:r w:rsidRPr="005549BF">
        <w:t xml:space="preserve">Pope, N., </w:t>
      </w:r>
      <w:proofErr w:type="spellStart"/>
      <w:r w:rsidRPr="005549BF">
        <w:t>Kahila</w:t>
      </w:r>
      <w:proofErr w:type="spellEnd"/>
      <w:r w:rsidRPr="005549BF">
        <w:t xml:space="preserve">, J., </w:t>
      </w:r>
      <w:proofErr w:type="spellStart"/>
      <w:r w:rsidRPr="005549BF">
        <w:t>Vartiainen</w:t>
      </w:r>
      <w:proofErr w:type="spellEnd"/>
      <w:r w:rsidRPr="005549BF">
        <w:t xml:space="preserve">, H., </w:t>
      </w:r>
      <w:proofErr w:type="spellStart"/>
      <w:r w:rsidRPr="005549BF">
        <w:t>Saqr</w:t>
      </w:r>
      <w:proofErr w:type="spellEnd"/>
      <w:r w:rsidRPr="005549BF">
        <w:t>, M., Lopez-</w:t>
      </w:r>
      <w:proofErr w:type="spellStart"/>
      <w:r w:rsidRPr="005549BF">
        <w:t>Pernas</w:t>
      </w:r>
      <w:proofErr w:type="spellEnd"/>
      <w:r w:rsidRPr="005549BF">
        <w:t xml:space="preserve">, S., </w:t>
      </w:r>
      <w:proofErr w:type="spellStart"/>
      <w:r w:rsidRPr="005549BF">
        <w:t>Roos</w:t>
      </w:r>
      <w:proofErr w:type="spellEnd"/>
      <w:r w:rsidRPr="005549BF">
        <w:t xml:space="preserve">, T., </w:t>
      </w:r>
      <w:proofErr w:type="spellStart"/>
      <w:r w:rsidRPr="005549BF">
        <w:t>Laru</w:t>
      </w:r>
      <w:proofErr w:type="spellEnd"/>
      <w:r w:rsidRPr="005549BF">
        <w:t>, J., and Tedre, M. (2024</w:t>
      </w:r>
      <w:r>
        <w:t>b</w:t>
      </w:r>
      <w:r w:rsidRPr="005549BF">
        <w:t>). An XAI social media platform for teaching K-12 students AI-driven profiling, clustering, and engagement-based recommending.</w:t>
      </w:r>
      <w:r>
        <w:t xml:space="preserve"> To appear in </w:t>
      </w:r>
      <w:r w:rsidRPr="005549BF">
        <w:rPr>
          <w:i/>
          <w:iCs/>
        </w:rPr>
        <w:t xml:space="preserve">Proceedings of the </w:t>
      </w:r>
      <w:r w:rsidRPr="005549BF">
        <w:rPr>
          <w:i/>
          <w:iCs/>
        </w:rPr>
        <w:t>Thirty-Eighth AAAI Conference on Artificial Intelligence</w:t>
      </w:r>
      <w:r w:rsidRPr="005549BF">
        <w:rPr>
          <w:i/>
          <w:iCs/>
        </w:rPr>
        <w:t>, 2025.</w:t>
      </w:r>
      <w:r>
        <w:rPr>
          <w:i/>
          <w:iCs/>
        </w:rPr>
        <w:t xml:space="preserve"> </w:t>
      </w:r>
      <w:hyperlink r:id="rId19" w:history="1">
        <w:r w:rsidRPr="00FF5FC5">
          <w:rPr>
            <w:rStyle w:val="Hyperlink"/>
          </w:rPr>
          <w:t>https://doi.org/10.48550/arXiv.2412.13554</w:t>
        </w:r>
      </w:hyperlink>
      <w:r>
        <w:t xml:space="preserve"> </w:t>
      </w:r>
    </w:p>
    <w:p w14:paraId="199E8338" w14:textId="07902081" w:rsidR="005549BF" w:rsidRDefault="005549BF" w:rsidP="005549BF">
      <w:pPr>
        <w:pStyle w:val="References"/>
        <w:jc w:val="left"/>
        <w:rPr>
          <w:lang w:val="en-GB"/>
        </w:rPr>
      </w:pPr>
      <w:r w:rsidRPr="005549BF">
        <w:rPr>
          <w:lang w:val="en-GB"/>
        </w:rPr>
        <w:t xml:space="preserve">Pope, N., </w:t>
      </w:r>
      <w:proofErr w:type="spellStart"/>
      <w:r w:rsidRPr="005549BF">
        <w:rPr>
          <w:lang w:val="en-GB"/>
        </w:rPr>
        <w:t>Kahila</w:t>
      </w:r>
      <w:proofErr w:type="spellEnd"/>
      <w:r w:rsidRPr="005549BF">
        <w:rPr>
          <w:lang w:val="en-GB"/>
        </w:rPr>
        <w:t xml:space="preserve">, J., </w:t>
      </w:r>
      <w:proofErr w:type="spellStart"/>
      <w:r w:rsidRPr="005549BF">
        <w:rPr>
          <w:lang w:val="en-GB"/>
        </w:rPr>
        <w:t>Laru</w:t>
      </w:r>
      <w:proofErr w:type="spellEnd"/>
      <w:r w:rsidRPr="005549BF">
        <w:rPr>
          <w:lang w:val="en-GB"/>
        </w:rPr>
        <w:t xml:space="preserve">, J., </w:t>
      </w:r>
      <w:proofErr w:type="spellStart"/>
      <w:r w:rsidRPr="005549BF">
        <w:rPr>
          <w:lang w:val="en-GB"/>
        </w:rPr>
        <w:t>Vartiainen</w:t>
      </w:r>
      <w:proofErr w:type="spellEnd"/>
      <w:r w:rsidRPr="005549BF">
        <w:rPr>
          <w:lang w:val="en-GB"/>
        </w:rPr>
        <w:t xml:space="preserve">, H., </w:t>
      </w:r>
      <w:proofErr w:type="spellStart"/>
      <w:r w:rsidRPr="005549BF">
        <w:rPr>
          <w:lang w:val="en-GB"/>
        </w:rPr>
        <w:t>Roos</w:t>
      </w:r>
      <w:proofErr w:type="spellEnd"/>
      <w:r w:rsidRPr="005549BF">
        <w:rPr>
          <w:lang w:val="en-GB"/>
        </w:rPr>
        <w:t xml:space="preserve">, T., and Tedre, M. (2024). An educational tool for learning about social media tracking, profiling, and recommendation. In </w:t>
      </w:r>
      <w:r w:rsidRPr="005549BF">
        <w:rPr>
          <w:i/>
          <w:iCs/>
          <w:lang w:val="en-GB"/>
        </w:rPr>
        <w:t>Proceedings of 2024 IEEE International Conference on Advanced Learning Technologies (ICALT)</w:t>
      </w:r>
      <w:r w:rsidRPr="005549BF">
        <w:rPr>
          <w:lang w:val="en-GB"/>
        </w:rPr>
        <w:t>, pages 110–112</w:t>
      </w:r>
      <w:r>
        <w:rPr>
          <w:lang w:val="en-GB"/>
        </w:rPr>
        <w:t xml:space="preserve">. </w:t>
      </w:r>
      <w:hyperlink r:id="rId20" w:history="1">
        <w:r w:rsidRPr="00FF5FC5">
          <w:rPr>
            <w:rStyle w:val="Hyperlink"/>
            <w:lang w:val="en-GB"/>
          </w:rPr>
          <w:t>https://doi.org/10.1109/ICALT61570.2024.00038</w:t>
        </w:r>
      </w:hyperlink>
      <w:r>
        <w:rPr>
          <w:lang w:val="en-GB"/>
        </w:rPr>
        <w:t xml:space="preserve">  </w:t>
      </w:r>
    </w:p>
    <w:p w14:paraId="797BA83E" w14:textId="68ECD07C" w:rsidR="005549BF" w:rsidRDefault="005549BF" w:rsidP="005549BF">
      <w:pPr>
        <w:pStyle w:val="References"/>
        <w:jc w:val="left"/>
        <w:rPr>
          <w:lang w:val="en-GB"/>
        </w:rPr>
      </w:pPr>
      <w:r w:rsidRPr="005549BF">
        <w:rPr>
          <w:lang w:val="en-GB"/>
        </w:rPr>
        <w:t xml:space="preserve">Tedre, M., Denning, P. J., and Toivonen, T. (2021). CT 2.0. In </w:t>
      </w:r>
      <w:r w:rsidRPr="005549BF">
        <w:rPr>
          <w:i/>
          <w:iCs/>
          <w:lang w:val="en-GB"/>
        </w:rPr>
        <w:t xml:space="preserve">Proceedings of the </w:t>
      </w:r>
      <w:r w:rsidRPr="005549BF">
        <w:rPr>
          <w:i/>
          <w:iCs/>
          <w:lang w:val="en-GB"/>
        </w:rPr>
        <w:t>21st Koli Calling International Conference on Computing Education Research, Koli Calling ’21</w:t>
      </w:r>
      <w:r w:rsidRPr="005549BF">
        <w:rPr>
          <w:lang w:val="en-GB"/>
        </w:rPr>
        <w:t>, New York, NY, USA. ACM.</w:t>
      </w:r>
      <w:r>
        <w:rPr>
          <w:lang w:val="en-GB"/>
        </w:rPr>
        <w:t xml:space="preserve"> </w:t>
      </w:r>
      <w:hyperlink r:id="rId21" w:history="1">
        <w:r w:rsidRPr="00FF5FC5">
          <w:rPr>
            <w:rStyle w:val="Hyperlink"/>
            <w:lang w:val="en-GB"/>
          </w:rPr>
          <w:t>https://doi.org/10.1145/3488042.3488053</w:t>
        </w:r>
      </w:hyperlink>
      <w:r>
        <w:rPr>
          <w:lang w:val="en-GB"/>
        </w:rPr>
        <w:t xml:space="preserve"> </w:t>
      </w:r>
    </w:p>
    <w:p w14:paraId="09783063" w14:textId="15753877" w:rsidR="005549BF" w:rsidRDefault="005549BF" w:rsidP="005549BF">
      <w:pPr>
        <w:pStyle w:val="References"/>
        <w:jc w:val="left"/>
        <w:rPr>
          <w:lang w:val="en-GB"/>
        </w:rPr>
      </w:pPr>
      <w:r w:rsidRPr="005549BF">
        <w:rPr>
          <w:lang w:val="en-GB"/>
        </w:rPr>
        <w:t xml:space="preserve">Toivonen, T., </w:t>
      </w:r>
      <w:proofErr w:type="spellStart"/>
      <w:r w:rsidRPr="005549BF">
        <w:rPr>
          <w:lang w:val="en-GB"/>
        </w:rPr>
        <w:t>Jormanainen</w:t>
      </w:r>
      <w:proofErr w:type="spellEnd"/>
      <w:r w:rsidRPr="005549BF">
        <w:rPr>
          <w:lang w:val="en-GB"/>
        </w:rPr>
        <w:t xml:space="preserve">, I., </w:t>
      </w:r>
      <w:proofErr w:type="spellStart"/>
      <w:r w:rsidRPr="005549BF">
        <w:rPr>
          <w:lang w:val="en-GB"/>
        </w:rPr>
        <w:t>Kahila</w:t>
      </w:r>
      <w:proofErr w:type="spellEnd"/>
      <w:r w:rsidRPr="005549BF">
        <w:rPr>
          <w:lang w:val="en-GB"/>
        </w:rPr>
        <w:t xml:space="preserve">, J., Tedre, M., Valtonen, T., and </w:t>
      </w:r>
      <w:proofErr w:type="spellStart"/>
      <w:r w:rsidRPr="005549BF">
        <w:rPr>
          <w:lang w:val="en-GB"/>
        </w:rPr>
        <w:t>Vartiainen</w:t>
      </w:r>
      <w:proofErr w:type="spellEnd"/>
      <w:r w:rsidRPr="005549BF">
        <w:rPr>
          <w:lang w:val="en-GB"/>
        </w:rPr>
        <w:t xml:space="preserve">, H. (2020). Co-designing machine learning apps in </w:t>
      </w:r>
      <w:r>
        <w:rPr>
          <w:lang w:val="en-GB"/>
        </w:rPr>
        <w:t>K</w:t>
      </w:r>
      <w:r w:rsidRPr="005549BF">
        <w:rPr>
          <w:lang w:val="en-GB"/>
        </w:rPr>
        <w:t xml:space="preserve">–12 with primary school children. In </w:t>
      </w:r>
      <w:r>
        <w:rPr>
          <w:i/>
          <w:iCs/>
          <w:lang w:val="en-GB"/>
        </w:rPr>
        <w:t xml:space="preserve">Proceedings of the </w:t>
      </w:r>
      <w:r w:rsidRPr="005549BF">
        <w:rPr>
          <w:i/>
          <w:iCs/>
          <w:lang w:val="en-GB"/>
        </w:rPr>
        <w:t>2020 IEEE 20th International Conference on Advanced Learning Technologies (ICALT)</w:t>
      </w:r>
      <w:r w:rsidRPr="005549BF">
        <w:rPr>
          <w:lang w:val="en-GB"/>
        </w:rPr>
        <w:t>, pages 308–310.</w:t>
      </w:r>
      <w:r>
        <w:rPr>
          <w:lang w:val="en-GB"/>
        </w:rPr>
        <w:t xml:space="preserve"> </w:t>
      </w:r>
      <w:hyperlink r:id="rId22" w:history="1">
        <w:r w:rsidRPr="00FF5FC5">
          <w:rPr>
            <w:rStyle w:val="Hyperlink"/>
            <w:lang w:val="en-GB"/>
          </w:rPr>
          <w:t>https://doi.org/10.1109/ICALT49669.2020.00099</w:t>
        </w:r>
      </w:hyperlink>
      <w:r>
        <w:rPr>
          <w:lang w:val="en-GB"/>
        </w:rPr>
        <w:t xml:space="preserve"> </w:t>
      </w:r>
    </w:p>
    <w:p w14:paraId="06FF6321" w14:textId="5ED5A8B6" w:rsidR="005549BF" w:rsidRPr="005549BF" w:rsidRDefault="005549BF" w:rsidP="005549BF">
      <w:pPr>
        <w:pStyle w:val="References"/>
        <w:jc w:val="left"/>
      </w:pPr>
      <w:proofErr w:type="spellStart"/>
      <w:r w:rsidRPr="005549BF">
        <w:rPr>
          <w:lang w:val="en-GB"/>
        </w:rPr>
        <w:t>Vartiainen</w:t>
      </w:r>
      <w:proofErr w:type="spellEnd"/>
      <w:r w:rsidRPr="005549BF">
        <w:rPr>
          <w:lang w:val="en-GB"/>
        </w:rPr>
        <w:t xml:space="preserve">, H., Toivonen, T., </w:t>
      </w:r>
      <w:proofErr w:type="spellStart"/>
      <w:r w:rsidRPr="005549BF">
        <w:rPr>
          <w:lang w:val="en-GB"/>
        </w:rPr>
        <w:t>Jormanainen</w:t>
      </w:r>
      <w:proofErr w:type="spellEnd"/>
      <w:r w:rsidRPr="005549BF">
        <w:rPr>
          <w:lang w:val="en-GB"/>
        </w:rPr>
        <w:t xml:space="preserve">, I., </w:t>
      </w:r>
      <w:proofErr w:type="spellStart"/>
      <w:r w:rsidRPr="005549BF">
        <w:rPr>
          <w:lang w:val="en-GB"/>
        </w:rPr>
        <w:t>Kahila</w:t>
      </w:r>
      <w:proofErr w:type="spellEnd"/>
      <w:r w:rsidRPr="005549BF">
        <w:rPr>
          <w:lang w:val="en-GB"/>
        </w:rPr>
        <w:t xml:space="preserve">, J., Tedre, M., and Valtonen, T. (2021). Machine learning for middle schoolers: Learning through data-driven design. </w:t>
      </w:r>
      <w:r w:rsidRPr="005549BF">
        <w:rPr>
          <w:i/>
          <w:iCs/>
          <w:lang w:val="en-GB"/>
        </w:rPr>
        <w:t>International Journal of Child-Computer Interaction</w:t>
      </w:r>
      <w:r w:rsidRPr="005549BF">
        <w:rPr>
          <w:lang w:val="en-GB"/>
        </w:rPr>
        <w:t>, 29:100281.</w:t>
      </w:r>
      <w:r>
        <w:rPr>
          <w:lang w:val="en-GB"/>
        </w:rPr>
        <w:t xml:space="preserve"> </w:t>
      </w:r>
      <w:hyperlink r:id="rId23" w:history="1">
        <w:r w:rsidRPr="00FF5FC5">
          <w:rPr>
            <w:rStyle w:val="Hyperlink"/>
            <w:lang w:val="en-GB"/>
          </w:rPr>
          <w:t>https://doi.org/10.1016/j.ijcci.2021.100281</w:t>
        </w:r>
      </w:hyperlink>
      <w:r>
        <w:rPr>
          <w:lang w:val="en-GB"/>
        </w:rPr>
        <w:t xml:space="preserve"> </w:t>
      </w:r>
    </w:p>
    <w:p w14:paraId="2F9E5B0E" w14:textId="0C66F366" w:rsidR="005549BF" w:rsidRDefault="005549BF" w:rsidP="00FE2DF3">
      <w:pPr>
        <w:pStyle w:val="References"/>
        <w:jc w:val="left"/>
      </w:pPr>
      <w:proofErr w:type="spellStart"/>
      <w:r w:rsidRPr="005549BF">
        <w:rPr>
          <w:lang w:val="en-GB"/>
        </w:rPr>
        <w:t>Vartiainen</w:t>
      </w:r>
      <w:proofErr w:type="spellEnd"/>
      <w:r w:rsidRPr="005549BF">
        <w:rPr>
          <w:lang w:val="en-GB"/>
        </w:rPr>
        <w:t xml:space="preserve">, H., </w:t>
      </w:r>
      <w:proofErr w:type="spellStart"/>
      <w:r w:rsidRPr="005549BF">
        <w:rPr>
          <w:lang w:val="en-GB"/>
        </w:rPr>
        <w:t>Kahila</w:t>
      </w:r>
      <w:proofErr w:type="spellEnd"/>
      <w:r w:rsidRPr="005549BF">
        <w:rPr>
          <w:lang w:val="en-GB"/>
        </w:rPr>
        <w:t>, J., Tedre, M., L</w:t>
      </w:r>
      <w:r>
        <w:rPr>
          <w:lang w:val="en-GB"/>
        </w:rPr>
        <w:t>ó</w:t>
      </w:r>
      <w:r w:rsidRPr="005549BF">
        <w:rPr>
          <w:lang w:val="en-GB"/>
        </w:rPr>
        <w:t>pez-</w:t>
      </w:r>
      <w:proofErr w:type="spellStart"/>
      <w:r w:rsidRPr="005549BF">
        <w:rPr>
          <w:lang w:val="en-GB"/>
        </w:rPr>
        <w:t>Pernas</w:t>
      </w:r>
      <w:proofErr w:type="spellEnd"/>
      <w:r w:rsidRPr="005549BF">
        <w:rPr>
          <w:lang w:val="en-GB"/>
        </w:rPr>
        <w:t xml:space="preserve">, S., and Pope, N. (2024). Enhancing children’s understanding of algorithmic biases in and with text-to-image generative AI. </w:t>
      </w:r>
      <w:r w:rsidRPr="005549BF">
        <w:rPr>
          <w:i/>
          <w:iCs/>
          <w:lang w:val="en-GB"/>
        </w:rPr>
        <w:t>New Media &amp; Society</w:t>
      </w:r>
      <w:r w:rsidRPr="005549BF">
        <w:rPr>
          <w:lang w:val="en-GB"/>
        </w:rPr>
        <w:t>, page 14614448241252820.</w:t>
      </w:r>
      <w:r>
        <w:rPr>
          <w:lang w:val="en-GB"/>
        </w:rPr>
        <w:t xml:space="preserve"> </w:t>
      </w:r>
      <w:hyperlink r:id="rId24" w:history="1">
        <w:r w:rsidRPr="00FF5FC5">
          <w:rPr>
            <w:rStyle w:val="Hyperlink"/>
            <w:lang w:val="en-GB"/>
          </w:rPr>
          <w:t>https://doi.org/10.1177/14614448241252820</w:t>
        </w:r>
      </w:hyperlink>
      <w:r>
        <w:rPr>
          <w:lang w:val="en-GB"/>
        </w:rPr>
        <w:t xml:space="preserve"> </w:t>
      </w:r>
    </w:p>
    <w:p w14:paraId="3BCDDE61" w14:textId="50DF1359" w:rsidR="00DE0F2E" w:rsidRPr="00DE0F2E" w:rsidRDefault="00DE0F2E" w:rsidP="00DE0F2E">
      <w:pPr>
        <w:pStyle w:val="References"/>
        <w:jc w:val="left"/>
        <w:rPr>
          <w:lang w:val="en-SE"/>
        </w:rPr>
      </w:pPr>
      <w:proofErr w:type="spellStart"/>
      <w:r w:rsidRPr="00DE0F2E">
        <w:t>Vartiainen</w:t>
      </w:r>
      <w:proofErr w:type="spellEnd"/>
      <w:r w:rsidRPr="00DE0F2E">
        <w:t xml:space="preserve">, H., </w:t>
      </w:r>
      <w:proofErr w:type="spellStart"/>
      <w:r w:rsidRPr="00DE0F2E">
        <w:t>Pellas</w:t>
      </w:r>
      <w:proofErr w:type="spellEnd"/>
      <w:r w:rsidRPr="00DE0F2E">
        <w:t xml:space="preserve">, L., </w:t>
      </w:r>
      <w:proofErr w:type="spellStart"/>
      <w:r w:rsidRPr="00DE0F2E">
        <w:t>Kahila</w:t>
      </w:r>
      <w:proofErr w:type="spellEnd"/>
      <w:r w:rsidRPr="00DE0F2E">
        <w:t>, J., Valtonen, T., and Tedre, M. (2024</w:t>
      </w:r>
      <w:r>
        <w:t>b</w:t>
      </w:r>
      <w:r w:rsidRPr="00DE0F2E">
        <w:t>). Pre-service teachers’ insights on data agency. New Media &amp; Society, 26(4):1871–1890.</w:t>
      </w:r>
      <w:r>
        <w:t xml:space="preserve"> </w:t>
      </w:r>
      <w:hyperlink r:id="rId25" w:history="1">
        <w:r w:rsidRPr="00FF5FC5">
          <w:rPr>
            <w:rStyle w:val="Hyperlink"/>
          </w:rPr>
          <w:t>https://doi.org/10.1177/14614448221079626</w:t>
        </w:r>
      </w:hyperlink>
      <w:r>
        <w:t xml:space="preserve"> </w:t>
      </w:r>
    </w:p>
    <w:sectPr w:rsidR="00DE0F2E" w:rsidRPr="00DE0F2E" w:rsidSect="00C27700">
      <w:headerReference w:type="default" r:id="rId26"/>
      <w:pgSz w:w="11894" w:h="16834" w:code="124"/>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ABB60" w14:textId="77777777" w:rsidR="00E672BB" w:rsidRDefault="00E672BB">
      <w:r>
        <w:separator/>
      </w:r>
    </w:p>
  </w:endnote>
  <w:endnote w:type="continuationSeparator" w:id="0">
    <w:p w14:paraId="1A75B4B1" w14:textId="77777777" w:rsidR="00E672BB" w:rsidRDefault="00E67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60F17" w14:textId="77777777" w:rsidR="00E672BB" w:rsidRDefault="00E672BB">
      <w:r>
        <w:separator/>
      </w:r>
    </w:p>
  </w:footnote>
  <w:footnote w:type="continuationSeparator" w:id="0">
    <w:p w14:paraId="040A0F08" w14:textId="77777777" w:rsidR="00E672BB" w:rsidRDefault="00E67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23B20" w14:textId="3D96E6DE" w:rsidR="005F5B48" w:rsidRPr="005F5B48" w:rsidRDefault="008101AB" w:rsidP="005F5B48">
    <w:pPr>
      <w:pStyle w:val="Header"/>
      <w:jc w:val="center"/>
    </w:pPr>
    <w:r>
      <w:rPr>
        <w:sz w:val="20"/>
      </w:rPr>
      <w:t xml:space="preserve">Extended </w:t>
    </w:r>
    <w:r w:rsidR="005F5B48" w:rsidRPr="005F5B48">
      <w:rPr>
        <w:sz w:val="20"/>
      </w:rPr>
      <w:t xml:space="preserve">Abstract for the </w:t>
    </w:r>
    <w:r>
      <w:rPr>
        <w:sz w:val="20"/>
      </w:rPr>
      <w:br/>
    </w:r>
    <w:r w:rsidR="002434D4" w:rsidRPr="002434D4">
      <w:rPr>
        <w:i/>
        <w:sz w:val="20"/>
      </w:rPr>
      <w:t>Symposium on Integrating AI and Data Science into School Education Across Disciplines</w:t>
    </w:r>
    <w:r w:rsidR="002434D4">
      <w:rPr>
        <w:i/>
        <w:sz w:val="20"/>
      </w:rPr>
      <w:t xml:space="preserve"> </w:t>
    </w:r>
    <w:r>
      <w:rPr>
        <w:i/>
        <w:sz w:val="20"/>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D41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E0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B11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8F38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1CF0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3C769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5109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0E445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7F43E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C33782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70292739">
    <w:abstractNumId w:val="1"/>
  </w:num>
  <w:num w:numId="2" w16cid:durableId="1241721296">
    <w:abstractNumId w:val="5"/>
  </w:num>
  <w:num w:numId="3" w16cid:durableId="1493570829">
    <w:abstractNumId w:val="3"/>
  </w:num>
  <w:num w:numId="4" w16cid:durableId="1778678797">
    <w:abstractNumId w:val="6"/>
  </w:num>
  <w:num w:numId="5" w16cid:durableId="1748653571">
    <w:abstractNumId w:val="4"/>
  </w:num>
  <w:num w:numId="6" w16cid:durableId="199361585">
    <w:abstractNumId w:val="2"/>
  </w:num>
  <w:num w:numId="7" w16cid:durableId="301352456">
    <w:abstractNumId w:val="0"/>
  </w:num>
  <w:num w:numId="8" w16cid:durableId="1105538220">
    <w:abstractNumId w:val="8"/>
  </w:num>
  <w:num w:numId="9" w16cid:durableId="1343506591">
    <w:abstractNumId w:val="9"/>
  </w:num>
  <w:num w:numId="10" w16cid:durableId="15834924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E6E"/>
    <w:rsid w:val="00055348"/>
    <w:rsid w:val="00072F6E"/>
    <w:rsid w:val="000A6F21"/>
    <w:rsid w:val="000D38F4"/>
    <w:rsid w:val="000D7E65"/>
    <w:rsid w:val="001A0372"/>
    <w:rsid w:val="001B746E"/>
    <w:rsid w:val="00207293"/>
    <w:rsid w:val="00222F15"/>
    <w:rsid w:val="002434D4"/>
    <w:rsid w:val="00252177"/>
    <w:rsid w:val="00337C42"/>
    <w:rsid w:val="00361FEE"/>
    <w:rsid w:val="003A57B2"/>
    <w:rsid w:val="003E50C0"/>
    <w:rsid w:val="004F4171"/>
    <w:rsid w:val="00514BD6"/>
    <w:rsid w:val="00531AE4"/>
    <w:rsid w:val="005543A0"/>
    <w:rsid w:val="005549BF"/>
    <w:rsid w:val="00582843"/>
    <w:rsid w:val="005F5B48"/>
    <w:rsid w:val="00683EA2"/>
    <w:rsid w:val="006877ED"/>
    <w:rsid w:val="00696633"/>
    <w:rsid w:val="006D0864"/>
    <w:rsid w:val="006D5FD3"/>
    <w:rsid w:val="00704487"/>
    <w:rsid w:val="007047CB"/>
    <w:rsid w:val="007923C4"/>
    <w:rsid w:val="007D3E6E"/>
    <w:rsid w:val="00806C7E"/>
    <w:rsid w:val="00806D1B"/>
    <w:rsid w:val="008101AB"/>
    <w:rsid w:val="0081314C"/>
    <w:rsid w:val="008863B4"/>
    <w:rsid w:val="00910147"/>
    <w:rsid w:val="00926047"/>
    <w:rsid w:val="00964D08"/>
    <w:rsid w:val="00973A6E"/>
    <w:rsid w:val="009B1618"/>
    <w:rsid w:val="009E6B8C"/>
    <w:rsid w:val="00A07609"/>
    <w:rsid w:val="00A1240D"/>
    <w:rsid w:val="00A17059"/>
    <w:rsid w:val="00B52C88"/>
    <w:rsid w:val="00B956F8"/>
    <w:rsid w:val="00C05D16"/>
    <w:rsid w:val="00C13BBC"/>
    <w:rsid w:val="00C27700"/>
    <w:rsid w:val="00C95488"/>
    <w:rsid w:val="00D00E88"/>
    <w:rsid w:val="00D521E7"/>
    <w:rsid w:val="00DE0F2E"/>
    <w:rsid w:val="00E05A02"/>
    <w:rsid w:val="00E259FD"/>
    <w:rsid w:val="00E672BB"/>
    <w:rsid w:val="00E84266"/>
    <w:rsid w:val="00E95A47"/>
    <w:rsid w:val="00EC3467"/>
    <w:rsid w:val="00F0473A"/>
    <w:rsid w:val="00F354F7"/>
    <w:rsid w:val="00F4730F"/>
    <w:rsid w:val="00FE2DF3"/>
    <w:rsid w:val="00FF3A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8D877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06D1B"/>
    <w:pPr>
      <w:ind w:firstLine="720"/>
      <w:jc w:val="both"/>
    </w:pPr>
    <w:rPr>
      <w:sz w:val="22"/>
      <w:lang w:val="en-US" w:eastAsia="en-US"/>
    </w:rPr>
  </w:style>
  <w:style w:type="paragraph" w:styleId="Heading1">
    <w:name w:val="heading 1"/>
    <w:basedOn w:val="Normal"/>
    <w:next w:val="Normal"/>
    <w:autoRedefine/>
    <w:qFormat/>
    <w:rsid w:val="005543A0"/>
    <w:pPr>
      <w:keepNext/>
      <w:spacing w:after="240"/>
      <w:jc w:val="center"/>
      <w:outlineLvl w:val="0"/>
    </w:pPr>
    <w:rPr>
      <w:b/>
      <w:caps/>
    </w:rPr>
  </w:style>
  <w:style w:type="paragraph" w:styleId="Heading2">
    <w:name w:val="heading 2"/>
    <w:basedOn w:val="Normal"/>
    <w:next w:val="Normal"/>
    <w:autoRedefine/>
    <w:qFormat/>
    <w:rsid w:val="00531AE4"/>
    <w:pPr>
      <w:keepNext/>
      <w:spacing w:before="240"/>
      <w:ind w:firstLine="0"/>
      <w:outlineLvl w:val="1"/>
    </w:pPr>
    <w:rPr>
      <w:b/>
      <w:bCs/>
      <w:szCs w:val="22"/>
      <w:lang w:val="en-GB"/>
    </w:rPr>
  </w:style>
  <w:style w:type="paragraph" w:styleId="Heading3">
    <w:name w:val="heading 3"/>
    <w:basedOn w:val="Normal"/>
    <w:next w:val="Normal"/>
    <w:autoRedefine/>
    <w:qFormat/>
    <w:rsid w:val="005543A0"/>
    <w:pPr>
      <w:keepNext/>
      <w:spacing w:before="120"/>
      <w:outlineLvl w:val="2"/>
    </w:pPr>
    <w:rPr>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110D81"/>
  </w:style>
  <w:style w:type="paragraph" w:customStyle="1" w:styleId="Abstract">
    <w:name w:val="Abstract"/>
    <w:basedOn w:val="Normal"/>
    <w:rsid w:val="00783611"/>
    <w:rPr>
      <w:i/>
    </w:rPr>
  </w:style>
  <w:style w:type="character" w:styleId="Hyperlink">
    <w:name w:val="Hyperlink"/>
    <w:rPr>
      <w:color w:val="0000FF"/>
      <w:u w:val="single"/>
    </w:rPr>
  </w:style>
  <w:style w:type="paragraph" w:styleId="Header">
    <w:name w:val="header"/>
    <w:basedOn w:val="Normal"/>
    <w:link w:val="HeaderChar"/>
    <w:uiPriority w:val="99"/>
    <w:unhideWhenUsed/>
    <w:rsid w:val="005F5B48"/>
    <w:pPr>
      <w:tabs>
        <w:tab w:val="center" w:pos="4536"/>
        <w:tab w:val="right" w:pos="9072"/>
      </w:tabs>
    </w:pPr>
  </w:style>
  <w:style w:type="character" w:customStyle="1" w:styleId="HeaderChar">
    <w:name w:val="Header Char"/>
    <w:link w:val="Header"/>
    <w:uiPriority w:val="99"/>
    <w:rsid w:val="005F5B48"/>
    <w:rPr>
      <w:sz w:val="22"/>
      <w:lang w:val="en-US" w:eastAsia="en-US"/>
    </w:rPr>
  </w:style>
  <w:style w:type="paragraph" w:customStyle="1" w:styleId="References">
    <w:name w:val="References"/>
    <w:basedOn w:val="Normal"/>
    <w:qFormat/>
    <w:rsid w:val="00C27700"/>
    <w:pPr>
      <w:ind w:left="360" w:hanging="360"/>
    </w:pPr>
  </w:style>
  <w:style w:type="paragraph" w:styleId="Footer">
    <w:name w:val="footer"/>
    <w:basedOn w:val="Normal"/>
    <w:link w:val="FooterChar"/>
    <w:uiPriority w:val="99"/>
    <w:unhideWhenUsed/>
    <w:rsid w:val="005F5B48"/>
    <w:pPr>
      <w:tabs>
        <w:tab w:val="center" w:pos="4536"/>
        <w:tab w:val="right" w:pos="9072"/>
      </w:tabs>
    </w:pPr>
  </w:style>
  <w:style w:type="character" w:customStyle="1" w:styleId="FooterChar">
    <w:name w:val="Footer Char"/>
    <w:link w:val="Footer"/>
    <w:uiPriority w:val="99"/>
    <w:rsid w:val="005F5B48"/>
    <w:rPr>
      <w:sz w:val="22"/>
      <w:lang w:val="en-US" w:eastAsia="en-US"/>
    </w:rPr>
  </w:style>
  <w:style w:type="paragraph" w:customStyle="1" w:styleId="FigTitle">
    <w:name w:val="FigTitle"/>
    <w:basedOn w:val="Normal"/>
    <w:qFormat/>
    <w:rsid w:val="006877ED"/>
    <w:pPr>
      <w:autoSpaceDE w:val="0"/>
      <w:autoSpaceDN w:val="0"/>
      <w:adjustRightInd w:val="0"/>
      <w:spacing w:before="120" w:after="120" w:line="320" w:lineRule="atLeast"/>
      <w:jc w:val="center"/>
    </w:pPr>
    <w:rPr>
      <w:b/>
      <w:bCs/>
      <w:szCs w:val="22"/>
    </w:rPr>
  </w:style>
  <w:style w:type="paragraph" w:styleId="NoSpacing">
    <w:name w:val="No Spacing"/>
    <w:uiPriority w:val="99"/>
    <w:qFormat/>
    <w:rsid w:val="003E50C0"/>
    <w:pPr>
      <w:ind w:firstLine="709"/>
    </w:pPr>
    <w:rPr>
      <w:sz w:val="22"/>
      <w:lang w:val="en-US" w:eastAsia="en-US"/>
    </w:rPr>
  </w:style>
  <w:style w:type="character" w:styleId="Strong">
    <w:name w:val="Strong"/>
    <w:basedOn w:val="DefaultParagraphFont"/>
    <w:uiPriority w:val="22"/>
    <w:qFormat/>
    <w:rsid w:val="003E50C0"/>
    <w:rPr>
      <w:b/>
      <w:bCs/>
    </w:rPr>
  </w:style>
  <w:style w:type="character" w:styleId="CommentReference">
    <w:name w:val="annotation reference"/>
    <w:rsid w:val="003E50C0"/>
    <w:rPr>
      <w:sz w:val="16"/>
      <w:szCs w:val="16"/>
    </w:rPr>
  </w:style>
  <w:style w:type="paragraph" w:customStyle="1" w:styleId="FocusTopics">
    <w:name w:val="FocusTopics"/>
    <w:basedOn w:val="Normal"/>
    <w:qFormat/>
    <w:rsid w:val="00531AE4"/>
    <w:pPr>
      <w:ind w:firstLine="0"/>
    </w:pPr>
    <w:rPr>
      <w:bCs/>
      <w:i/>
    </w:rPr>
  </w:style>
  <w:style w:type="paragraph" w:styleId="CommentText">
    <w:name w:val="annotation text"/>
    <w:basedOn w:val="Normal"/>
    <w:link w:val="CommentTextChar"/>
    <w:uiPriority w:val="99"/>
    <w:semiHidden/>
    <w:unhideWhenUsed/>
    <w:rsid w:val="00531AE4"/>
    <w:rPr>
      <w:sz w:val="20"/>
    </w:rPr>
  </w:style>
  <w:style w:type="character" w:customStyle="1" w:styleId="CommentTextChar">
    <w:name w:val="Comment Text Char"/>
    <w:basedOn w:val="DefaultParagraphFont"/>
    <w:link w:val="CommentText"/>
    <w:uiPriority w:val="99"/>
    <w:semiHidden/>
    <w:rsid w:val="00531AE4"/>
    <w:rPr>
      <w:lang w:val="en-US" w:eastAsia="en-US"/>
    </w:rPr>
  </w:style>
  <w:style w:type="paragraph" w:styleId="CommentSubject">
    <w:name w:val="annotation subject"/>
    <w:basedOn w:val="CommentText"/>
    <w:next w:val="CommentText"/>
    <w:link w:val="CommentSubjectChar"/>
    <w:uiPriority w:val="99"/>
    <w:semiHidden/>
    <w:unhideWhenUsed/>
    <w:rsid w:val="00531AE4"/>
    <w:rPr>
      <w:b/>
      <w:bCs/>
    </w:rPr>
  </w:style>
  <w:style w:type="character" w:customStyle="1" w:styleId="CommentSubjectChar">
    <w:name w:val="Comment Subject Char"/>
    <w:basedOn w:val="CommentTextChar"/>
    <w:link w:val="CommentSubject"/>
    <w:uiPriority w:val="99"/>
    <w:semiHidden/>
    <w:rsid w:val="00531AE4"/>
    <w:rPr>
      <w:b/>
      <w:bCs/>
      <w:lang w:val="en-US" w:eastAsia="en-US"/>
    </w:rPr>
  </w:style>
  <w:style w:type="character" w:styleId="UnresolvedMention">
    <w:name w:val="Unresolved Mention"/>
    <w:basedOn w:val="DefaultParagraphFont"/>
    <w:uiPriority w:val="99"/>
    <w:rsid w:val="00531AE4"/>
    <w:rPr>
      <w:color w:val="605E5C"/>
      <w:shd w:val="clear" w:color="auto" w:fill="E1DFDD"/>
    </w:rPr>
  </w:style>
  <w:style w:type="character" w:styleId="FollowedHyperlink">
    <w:name w:val="FollowedHyperlink"/>
    <w:basedOn w:val="DefaultParagraphFont"/>
    <w:uiPriority w:val="99"/>
    <w:semiHidden/>
    <w:unhideWhenUsed/>
    <w:rsid w:val="00FE2DF3"/>
    <w:rPr>
      <w:color w:val="954F72" w:themeColor="followedHyperlink"/>
      <w:u w:val="single"/>
    </w:rPr>
  </w:style>
  <w:style w:type="paragraph" w:styleId="NormalWeb">
    <w:name w:val="Normal (Web)"/>
    <w:basedOn w:val="Normal"/>
    <w:uiPriority w:val="99"/>
    <w:semiHidden/>
    <w:unhideWhenUsed/>
    <w:rsid w:val="00DE0F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652456">
      <w:bodyDiv w:val="1"/>
      <w:marLeft w:val="0"/>
      <w:marRight w:val="0"/>
      <w:marTop w:val="0"/>
      <w:marBottom w:val="0"/>
      <w:divBdr>
        <w:top w:val="none" w:sz="0" w:space="0" w:color="auto"/>
        <w:left w:val="none" w:sz="0" w:space="0" w:color="auto"/>
        <w:bottom w:val="none" w:sz="0" w:space="0" w:color="auto"/>
        <w:right w:val="none" w:sz="0" w:space="0" w:color="auto"/>
      </w:divBdr>
      <w:divsChild>
        <w:div w:id="1176264187">
          <w:marLeft w:val="0"/>
          <w:marRight w:val="0"/>
          <w:marTop w:val="0"/>
          <w:marBottom w:val="0"/>
          <w:divBdr>
            <w:top w:val="none" w:sz="0" w:space="0" w:color="auto"/>
            <w:left w:val="none" w:sz="0" w:space="0" w:color="auto"/>
            <w:bottom w:val="none" w:sz="0" w:space="0" w:color="auto"/>
            <w:right w:val="none" w:sz="0" w:space="0" w:color="auto"/>
          </w:divBdr>
          <w:divsChild>
            <w:div w:id="561479227">
              <w:marLeft w:val="0"/>
              <w:marRight w:val="0"/>
              <w:marTop w:val="0"/>
              <w:marBottom w:val="0"/>
              <w:divBdr>
                <w:top w:val="none" w:sz="0" w:space="0" w:color="auto"/>
                <w:left w:val="none" w:sz="0" w:space="0" w:color="auto"/>
                <w:bottom w:val="none" w:sz="0" w:space="0" w:color="auto"/>
                <w:right w:val="none" w:sz="0" w:space="0" w:color="auto"/>
              </w:divBdr>
              <w:divsChild>
                <w:div w:id="1459180614">
                  <w:marLeft w:val="0"/>
                  <w:marRight w:val="0"/>
                  <w:marTop w:val="0"/>
                  <w:marBottom w:val="0"/>
                  <w:divBdr>
                    <w:top w:val="none" w:sz="0" w:space="0" w:color="auto"/>
                    <w:left w:val="none" w:sz="0" w:space="0" w:color="auto"/>
                    <w:bottom w:val="none" w:sz="0" w:space="0" w:color="auto"/>
                    <w:right w:val="none" w:sz="0" w:space="0" w:color="auto"/>
                  </w:divBdr>
                  <w:divsChild>
                    <w:div w:id="14177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69279">
      <w:bodyDiv w:val="1"/>
      <w:marLeft w:val="0"/>
      <w:marRight w:val="0"/>
      <w:marTop w:val="0"/>
      <w:marBottom w:val="0"/>
      <w:divBdr>
        <w:top w:val="none" w:sz="0" w:space="0" w:color="auto"/>
        <w:left w:val="none" w:sz="0" w:space="0" w:color="auto"/>
        <w:bottom w:val="none" w:sz="0" w:space="0" w:color="auto"/>
        <w:right w:val="none" w:sz="0" w:space="0" w:color="auto"/>
      </w:divBdr>
    </w:div>
    <w:div w:id="1695614501">
      <w:bodyDiv w:val="1"/>
      <w:marLeft w:val="0"/>
      <w:marRight w:val="0"/>
      <w:marTop w:val="0"/>
      <w:marBottom w:val="0"/>
      <w:divBdr>
        <w:top w:val="none" w:sz="0" w:space="0" w:color="auto"/>
        <w:left w:val="none" w:sz="0" w:space="0" w:color="auto"/>
        <w:bottom w:val="none" w:sz="0" w:space="0" w:color="auto"/>
        <w:right w:val="none" w:sz="0" w:space="0" w:color="auto"/>
      </w:divBdr>
    </w:div>
    <w:div w:id="2145924504">
      <w:bodyDiv w:val="1"/>
      <w:marLeft w:val="0"/>
      <w:marRight w:val="0"/>
      <w:marTop w:val="0"/>
      <w:marBottom w:val="0"/>
      <w:divBdr>
        <w:top w:val="none" w:sz="0" w:space="0" w:color="auto"/>
        <w:left w:val="none" w:sz="0" w:space="0" w:color="auto"/>
        <w:bottom w:val="none" w:sz="0" w:space="0" w:color="auto"/>
        <w:right w:val="none" w:sz="0" w:space="0" w:color="auto"/>
      </w:divBdr>
      <w:divsChild>
        <w:div w:id="1356688368">
          <w:marLeft w:val="0"/>
          <w:marRight w:val="0"/>
          <w:marTop w:val="0"/>
          <w:marBottom w:val="0"/>
          <w:divBdr>
            <w:top w:val="none" w:sz="0" w:space="0" w:color="auto"/>
            <w:left w:val="none" w:sz="0" w:space="0" w:color="auto"/>
            <w:bottom w:val="none" w:sz="0" w:space="0" w:color="auto"/>
            <w:right w:val="none" w:sz="0" w:space="0" w:color="auto"/>
          </w:divBdr>
          <w:divsChild>
            <w:div w:id="911502749">
              <w:marLeft w:val="0"/>
              <w:marRight w:val="0"/>
              <w:marTop w:val="0"/>
              <w:marBottom w:val="0"/>
              <w:divBdr>
                <w:top w:val="none" w:sz="0" w:space="0" w:color="auto"/>
                <w:left w:val="none" w:sz="0" w:space="0" w:color="auto"/>
                <w:bottom w:val="none" w:sz="0" w:space="0" w:color="auto"/>
                <w:right w:val="none" w:sz="0" w:space="0" w:color="auto"/>
              </w:divBdr>
              <w:divsChild>
                <w:div w:id="501626945">
                  <w:marLeft w:val="0"/>
                  <w:marRight w:val="0"/>
                  <w:marTop w:val="0"/>
                  <w:marBottom w:val="0"/>
                  <w:divBdr>
                    <w:top w:val="none" w:sz="0" w:space="0" w:color="auto"/>
                    <w:left w:val="none" w:sz="0" w:space="0" w:color="auto"/>
                    <w:bottom w:val="none" w:sz="0" w:space="0" w:color="auto"/>
                    <w:right w:val="none" w:sz="0" w:space="0" w:color="auto"/>
                  </w:divBdr>
                  <w:divsChild>
                    <w:div w:id="11968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omekone.gen-ai.fi/" TargetMode="External"/><Relationship Id="rId13" Type="http://schemas.openxmlformats.org/officeDocument/2006/relationships/image" Target="media/image3.png"/><Relationship Id="rId18" Type="http://schemas.openxmlformats.org/officeDocument/2006/relationships/hyperlink" Target="https://doi.org/10.1109/ICALT61570.2024.00037"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145/3488042.3488053" TargetMode="External"/><Relationship Id="rId7" Type="http://schemas.openxmlformats.org/officeDocument/2006/relationships/hyperlink" Target="https://tm.gen-ai.fi/" TargetMode="External"/><Relationship Id="rId12" Type="http://schemas.openxmlformats.org/officeDocument/2006/relationships/image" Target="media/image2.jpeg"/><Relationship Id="rId17" Type="http://schemas.openxmlformats.org/officeDocument/2006/relationships/hyperlink" Target="https://www.techrxiv.org/1253118" TargetMode="External"/><Relationship Id="rId25" Type="http://schemas.openxmlformats.org/officeDocument/2006/relationships/hyperlink" Target="https://doi.org/10.1177/14614448221079626" TargetMode="External"/><Relationship Id="rId2" Type="http://schemas.openxmlformats.org/officeDocument/2006/relationships/styles" Target="styles.xml"/><Relationship Id="rId16" Type="http://schemas.openxmlformats.org/officeDocument/2006/relationships/hyperlink" Target="https://doi.org/10.1145/3677619.3677635" TargetMode="External"/><Relationship Id="rId20" Type="http://schemas.openxmlformats.org/officeDocument/2006/relationships/hyperlink" Target="https://doi.org/10.1109/ICALT61570.2024.000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177/14614448241252820" TargetMode="External"/><Relationship Id="rId5" Type="http://schemas.openxmlformats.org/officeDocument/2006/relationships/footnotes" Target="footnotes.xml"/><Relationship Id="rId15" Type="http://schemas.openxmlformats.org/officeDocument/2006/relationships/hyperlink" Target="https://doi.org/10.15388/infedu.2024.15" TargetMode="External"/><Relationship Id="rId23" Type="http://schemas.openxmlformats.org/officeDocument/2006/relationships/hyperlink" Target="https://doi.org/10.1016/j.ijcci.2021.100281" TargetMode="External"/><Relationship Id="rId28" Type="http://schemas.openxmlformats.org/officeDocument/2006/relationships/theme" Target="theme/theme1.xml"/><Relationship Id="rId10" Type="http://schemas.openxmlformats.org/officeDocument/2006/relationships/hyperlink" Target="https://www.techrxiv.org/1253118" TargetMode="External"/><Relationship Id="rId19" Type="http://schemas.openxmlformats.org/officeDocument/2006/relationships/hyperlink" Target="https://doi.org/10.48550/arXiv.2412.13554" TargetMode="External"/><Relationship Id="rId4" Type="http://schemas.openxmlformats.org/officeDocument/2006/relationships/webSettings" Target="webSettings.xml"/><Relationship Id="rId9" Type="http://schemas.openxmlformats.org/officeDocument/2006/relationships/hyperlink" Target="https://classroom.gen-ai.fi/" TargetMode="External"/><Relationship Id="rId14" Type="http://schemas.openxmlformats.org/officeDocument/2006/relationships/image" Target="media/image4.jpg"/><Relationship Id="rId22" Type="http://schemas.openxmlformats.org/officeDocument/2006/relationships/hyperlink" Target="https://doi.org/10.1109/ICALT49669.2020.00099" TargetMode="External"/><Relationship Id="rId27"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1493</Words>
  <Characters>9576</Characters>
  <Application>Microsoft Office Word</Application>
  <DocSecurity>0</DocSecurity>
  <Lines>138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Key Words: Statistics Education, Mathematical Statistics, Active Learning, Mathematics Majors</vt:lpstr>
      <vt:lpstr>Key Words: Statistics Education, Mathematical Statistics, Active Learning, Mathematics Majors</vt:lpstr>
    </vt:vector>
  </TitlesOfParts>
  <Company>Dell Computer Corporation</Company>
  <LinksUpToDate>false</LinksUpToDate>
  <CharactersWithSpaces>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Words: Statistics Education, Mathematical Statistics, Active Learning, Mathematics Majors</dc:title>
  <dc:subject/>
  <dc:creator>Daniel</dc:creator>
  <cp:keywords/>
  <cp:lastModifiedBy>Matti Tedre</cp:lastModifiedBy>
  <cp:revision>7</cp:revision>
  <cp:lastPrinted>2001-12-31T11:44:00Z</cp:lastPrinted>
  <dcterms:created xsi:type="dcterms:W3CDTF">2025-01-08T15:19:00Z</dcterms:created>
  <dcterms:modified xsi:type="dcterms:W3CDTF">2025-01-09T16:40:00Z</dcterms:modified>
</cp:coreProperties>
</file>