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04CF65" w14:textId="77777777" w:rsidR="00FB4DBF" w:rsidRDefault="00FB4DBF" w:rsidP="00FB4DBF">
      <w:pPr>
        <w:spacing w:before="100" w:beforeAutospacing="1" w:after="100" w:afterAutospacing="1" w:line="240" w:lineRule="auto"/>
        <w:jc w:val="center"/>
        <w:rPr>
          <w:rFonts w:ascii="Times New Roman" w:eastAsia="Times New Roman" w:hAnsi="Times New Roman" w:cs="Times New Roman"/>
          <w:b/>
          <w:bCs/>
          <w:sz w:val="24"/>
          <w:szCs w:val="24"/>
        </w:rPr>
      </w:pPr>
      <w:r w:rsidRPr="007E01C0">
        <w:rPr>
          <w:rFonts w:ascii="Times New Roman" w:eastAsia="Times New Roman" w:hAnsi="Times New Roman" w:cs="Times New Roman"/>
          <w:b/>
          <w:bCs/>
          <w:sz w:val="24"/>
          <w:szCs w:val="24"/>
        </w:rPr>
        <w:t xml:space="preserve">Latent Variable Modeling for Unipolar Constructs in Health </w:t>
      </w:r>
      <w:proofErr w:type="gramStart"/>
      <w:r w:rsidRPr="007E01C0">
        <w:rPr>
          <w:rFonts w:ascii="Times New Roman" w:eastAsia="Times New Roman" w:hAnsi="Times New Roman" w:cs="Times New Roman"/>
          <w:b/>
          <w:bCs/>
          <w:sz w:val="24"/>
          <w:szCs w:val="24"/>
        </w:rPr>
        <w:t>Sciences</w:t>
      </w:r>
      <w:r>
        <w:rPr>
          <w:rFonts w:ascii="Times New Roman" w:eastAsia="Times New Roman" w:hAnsi="Times New Roman" w:cs="Times New Roman"/>
          <w:b/>
          <w:bCs/>
          <w:sz w:val="24"/>
          <w:szCs w:val="24"/>
        </w:rPr>
        <w:t xml:space="preserve"> :</w:t>
      </w:r>
      <w:proofErr w:type="gramEnd"/>
      <w:r>
        <w:rPr>
          <w:rFonts w:ascii="Times New Roman" w:eastAsia="Times New Roman" w:hAnsi="Times New Roman" w:cs="Times New Roman"/>
          <w:b/>
          <w:bCs/>
          <w:sz w:val="24"/>
          <w:szCs w:val="24"/>
        </w:rPr>
        <w:t xml:space="preserve"> Partially Ordered Scaling Procedure for Including Reference Population</w:t>
      </w:r>
    </w:p>
    <w:p w14:paraId="3D13A610" w14:textId="77777777" w:rsidR="00FB4DBF" w:rsidRDefault="00FB4DBF" w:rsidP="00FB4DBF">
      <w:pPr>
        <w:spacing w:before="100" w:beforeAutospacing="1" w:after="100" w:afterAutospacing="1" w:line="240" w:lineRule="auto"/>
        <w:jc w:val="center"/>
        <w:rPr>
          <w:rFonts w:ascii="Times New Roman" w:eastAsia="Times New Roman" w:hAnsi="Times New Roman" w:cs="Times New Roman"/>
          <w:b/>
          <w:bCs/>
          <w:sz w:val="24"/>
          <w:szCs w:val="24"/>
        </w:rPr>
      </w:pPr>
    </w:p>
    <w:p w14:paraId="03A60A1A" w14:textId="06C85242" w:rsidR="00FB4DBF" w:rsidRDefault="00FB4DBF" w:rsidP="00FB4DBF">
      <w:pPr>
        <w:spacing w:before="100" w:beforeAutospacing="1" w:after="100" w:afterAutospacing="1"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Edward H. Ip, </w:t>
      </w:r>
      <w:proofErr w:type="gramStart"/>
      <w:r>
        <w:rPr>
          <w:rFonts w:ascii="Times New Roman" w:eastAsia="Times New Roman" w:hAnsi="Times New Roman" w:cs="Times New Roman"/>
          <w:b/>
          <w:bCs/>
          <w:sz w:val="24"/>
          <w:szCs w:val="24"/>
        </w:rPr>
        <w:t>PhD.*</w:t>
      </w:r>
      <w:proofErr w:type="gramEnd"/>
    </w:p>
    <w:p w14:paraId="58D8F0E3" w14:textId="10E010E8" w:rsidR="00FB4DBF" w:rsidRDefault="00FB4DBF" w:rsidP="00FB4DBF">
      <w:pPr>
        <w:spacing w:before="100" w:beforeAutospacing="1" w:after="100" w:afterAutospacing="1"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Shyh-Huei Chen, </w:t>
      </w:r>
      <w:proofErr w:type="gramStart"/>
      <w:r>
        <w:rPr>
          <w:rFonts w:ascii="Times New Roman" w:eastAsia="Times New Roman" w:hAnsi="Times New Roman" w:cs="Times New Roman"/>
          <w:b/>
          <w:bCs/>
          <w:sz w:val="24"/>
          <w:szCs w:val="24"/>
        </w:rPr>
        <w:t>PhD.*</w:t>
      </w:r>
      <w:proofErr w:type="gramEnd"/>
    </w:p>
    <w:p w14:paraId="21B4FBD3" w14:textId="77777777" w:rsidR="00FB4DBF" w:rsidRDefault="00FB4DBF" w:rsidP="00FB4DBF">
      <w:pPr>
        <w:spacing w:before="100" w:beforeAutospacing="1" w:after="100" w:afterAutospacing="1" w:line="240" w:lineRule="auto"/>
        <w:jc w:val="center"/>
        <w:rPr>
          <w:rFonts w:ascii="Times New Roman" w:eastAsia="Times New Roman" w:hAnsi="Times New Roman" w:cs="Times New Roman"/>
          <w:b/>
          <w:bCs/>
          <w:sz w:val="24"/>
          <w:szCs w:val="24"/>
        </w:rPr>
      </w:pPr>
    </w:p>
    <w:p w14:paraId="6AB67E84" w14:textId="4459F57A" w:rsidR="00FB4DBF" w:rsidRDefault="00FA0079" w:rsidP="00FA0079">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*Department of Biostatistics and Data Science, Wake Forest University School of Medicine</w:t>
      </w:r>
    </w:p>
    <w:p w14:paraId="753E1E90" w14:textId="77777777" w:rsidR="00FA0079" w:rsidRDefault="00FA0079" w:rsidP="00FA0079">
      <w:pPr>
        <w:spacing w:before="100" w:beforeAutospacing="1" w:after="100" w:afterAutospacing="1" w:line="240" w:lineRule="auto"/>
        <w:rPr>
          <w:rFonts w:ascii="Times New Roman" w:eastAsia="Times New Roman" w:hAnsi="Times New Roman" w:cs="Times New Roman"/>
          <w:sz w:val="24"/>
          <w:szCs w:val="24"/>
        </w:rPr>
      </w:pPr>
    </w:p>
    <w:p w14:paraId="09CF5D89" w14:textId="77777777" w:rsidR="00867B64" w:rsidRDefault="00867B64" w:rsidP="00FA0079">
      <w:pPr>
        <w:spacing w:before="100" w:beforeAutospacing="1" w:after="100" w:afterAutospacing="1" w:line="240" w:lineRule="auto"/>
        <w:rPr>
          <w:rFonts w:ascii="Times New Roman" w:eastAsia="Times New Roman" w:hAnsi="Times New Roman" w:cs="Times New Roman"/>
          <w:sz w:val="24"/>
          <w:szCs w:val="24"/>
        </w:rPr>
      </w:pPr>
    </w:p>
    <w:p w14:paraId="11BD2993" w14:textId="77777777" w:rsidR="00867B64" w:rsidRDefault="00867B64" w:rsidP="00FA0079">
      <w:pPr>
        <w:spacing w:before="100" w:beforeAutospacing="1" w:after="100" w:afterAutospacing="1" w:line="240" w:lineRule="auto"/>
        <w:rPr>
          <w:rFonts w:ascii="Times New Roman" w:eastAsia="Times New Roman" w:hAnsi="Times New Roman" w:cs="Times New Roman"/>
          <w:sz w:val="24"/>
          <w:szCs w:val="24"/>
        </w:rPr>
      </w:pPr>
    </w:p>
    <w:p w14:paraId="48F05AE5" w14:textId="77777777" w:rsidR="00867B64" w:rsidRDefault="00867B64" w:rsidP="00FA0079">
      <w:pPr>
        <w:spacing w:before="100" w:beforeAutospacing="1" w:after="100" w:afterAutospacing="1" w:line="240" w:lineRule="auto"/>
        <w:rPr>
          <w:rFonts w:ascii="Times New Roman" w:eastAsia="Times New Roman" w:hAnsi="Times New Roman" w:cs="Times New Roman"/>
          <w:sz w:val="24"/>
          <w:szCs w:val="24"/>
        </w:rPr>
      </w:pPr>
    </w:p>
    <w:p w14:paraId="5D3AB77E" w14:textId="20F0977D" w:rsidR="007F1F99" w:rsidRDefault="00867B64" w:rsidP="00FA0079">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Contact author: Edward H. Ip</w:t>
      </w:r>
    </w:p>
    <w:p w14:paraId="61DC4AFF" w14:textId="72630EC6" w:rsidR="00FA0079" w:rsidRDefault="00FA0079" w:rsidP="00FA0079">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Address: </w:t>
      </w:r>
      <w:r w:rsidR="007F1F99">
        <w:rPr>
          <w:rFonts w:ascii="Times New Roman" w:eastAsia="Times New Roman" w:hAnsi="Times New Roman" w:cs="Times New Roman"/>
          <w:sz w:val="24"/>
          <w:szCs w:val="24"/>
        </w:rPr>
        <w:t>Medical Center Blvd., Winston-Salem, NC 27157</w:t>
      </w:r>
    </w:p>
    <w:p w14:paraId="0793815B" w14:textId="4FBBCAE2" w:rsidR="007F1F99" w:rsidRDefault="007F1F99" w:rsidP="00FA0079">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Email: eip@wakehealth.edu</w:t>
      </w:r>
    </w:p>
    <w:p w14:paraId="33A17429" w14:textId="77777777" w:rsidR="007F1F99" w:rsidRPr="00FA0079" w:rsidRDefault="007F1F99" w:rsidP="00FA0079">
      <w:pPr>
        <w:spacing w:before="100" w:beforeAutospacing="1" w:after="100" w:afterAutospacing="1" w:line="240" w:lineRule="auto"/>
        <w:rPr>
          <w:rFonts w:ascii="Times New Roman" w:eastAsia="Times New Roman" w:hAnsi="Times New Roman" w:cs="Times New Roman"/>
          <w:sz w:val="24"/>
          <w:szCs w:val="24"/>
        </w:rPr>
      </w:pPr>
    </w:p>
    <w:p w14:paraId="0C17FA51" w14:textId="77777777" w:rsidR="007E01C0" w:rsidRDefault="007E01C0" w:rsidP="003C0A77"/>
    <w:p w14:paraId="1A6D3D79" w14:textId="77777777" w:rsidR="00FB4DBF" w:rsidRDefault="00FB4DBF" w:rsidP="00A41290">
      <w:pPr>
        <w:spacing w:before="100" w:beforeAutospacing="1" w:after="100" w:afterAutospacing="1" w:line="240" w:lineRule="auto"/>
        <w:jc w:val="center"/>
        <w:rPr>
          <w:rFonts w:ascii="Times New Roman" w:eastAsia="Times New Roman" w:hAnsi="Times New Roman" w:cs="Times New Roman"/>
          <w:b/>
          <w:bCs/>
          <w:sz w:val="24"/>
          <w:szCs w:val="24"/>
        </w:rPr>
      </w:pPr>
    </w:p>
    <w:p w14:paraId="74CD76B0" w14:textId="77777777" w:rsidR="00FB4DBF" w:rsidRDefault="00FB4DBF" w:rsidP="00A41290">
      <w:pPr>
        <w:spacing w:before="100" w:beforeAutospacing="1" w:after="100" w:afterAutospacing="1" w:line="240" w:lineRule="auto"/>
        <w:jc w:val="center"/>
        <w:rPr>
          <w:rFonts w:ascii="Times New Roman" w:eastAsia="Times New Roman" w:hAnsi="Times New Roman" w:cs="Times New Roman"/>
          <w:b/>
          <w:bCs/>
          <w:sz w:val="24"/>
          <w:szCs w:val="24"/>
        </w:rPr>
      </w:pPr>
    </w:p>
    <w:p w14:paraId="3E215312" w14:textId="77777777" w:rsidR="00FB4DBF" w:rsidRDefault="00FB4DBF" w:rsidP="00A41290">
      <w:pPr>
        <w:spacing w:before="100" w:beforeAutospacing="1" w:after="100" w:afterAutospacing="1" w:line="240" w:lineRule="auto"/>
        <w:jc w:val="center"/>
        <w:rPr>
          <w:rFonts w:ascii="Times New Roman" w:eastAsia="Times New Roman" w:hAnsi="Times New Roman" w:cs="Times New Roman"/>
          <w:b/>
          <w:bCs/>
          <w:sz w:val="24"/>
          <w:szCs w:val="24"/>
        </w:rPr>
      </w:pPr>
    </w:p>
    <w:p w14:paraId="0BF21952" w14:textId="77777777" w:rsidR="00FB4DBF" w:rsidRDefault="00FB4DBF" w:rsidP="00A41290">
      <w:pPr>
        <w:spacing w:before="100" w:beforeAutospacing="1" w:after="100" w:afterAutospacing="1" w:line="240" w:lineRule="auto"/>
        <w:jc w:val="center"/>
        <w:rPr>
          <w:rFonts w:ascii="Times New Roman" w:eastAsia="Times New Roman" w:hAnsi="Times New Roman" w:cs="Times New Roman"/>
          <w:b/>
          <w:bCs/>
          <w:sz w:val="24"/>
          <w:szCs w:val="24"/>
        </w:rPr>
      </w:pPr>
    </w:p>
    <w:p w14:paraId="6FBECFCB" w14:textId="77777777" w:rsidR="00FB4DBF" w:rsidRDefault="00FB4DBF" w:rsidP="00A41290">
      <w:pPr>
        <w:spacing w:before="100" w:beforeAutospacing="1" w:after="100" w:afterAutospacing="1" w:line="240" w:lineRule="auto"/>
        <w:jc w:val="center"/>
        <w:rPr>
          <w:rFonts w:ascii="Times New Roman" w:eastAsia="Times New Roman" w:hAnsi="Times New Roman" w:cs="Times New Roman"/>
          <w:b/>
          <w:bCs/>
          <w:sz w:val="24"/>
          <w:szCs w:val="24"/>
        </w:rPr>
      </w:pPr>
    </w:p>
    <w:p w14:paraId="7429F3E3" w14:textId="77777777" w:rsidR="00FB4DBF" w:rsidRDefault="00FB4DBF" w:rsidP="00A41290">
      <w:pPr>
        <w:spacing w:before="100" w:beforeAutospacing="1" w:after="100" w:afterAutospacing="1" w:line="240" w:lineRule="auto"/>
        <w:jc w:val="center"/>
        <w:rPr>
          <w:rFonts w:ascii="Times New Roman" w:eastAsia="Times New Roman" w:hAnsi="Times New Roman" w:cs="Times New Roman"/>
          <w:b/>
          <w:bCs/>
          <w:sz w:val="24"/>
          <w:szCs w:val="24"/>
        </w:rPr>
      </w:pPr>
    </w:p>
    <w:p w14:paraId="6E7D6436" w14:textId="77777777" w:rsidR="00FB4DBF" w:rsidRDefault="00FB4DBF" w:rsidP="00A41290">
      <w:pPr>
        <w:spacing w:before="100" w:beforeAutospacing="1" w:after="100" w:afterAutospacing="1" w:line="240" w:lineRule="auto"/>
        <w:jc w:val="center"/>
        <w:rPr>
          <w:rFonts w:ascii="Times New Roman" w:eastAsia="Times New Roman" w:hAnsi="Times New Roman" w:cs="Times New Roman"/>
          <w:b/>
          <w:bCs/>
          <w:sz w:val="24"/>
          <w:szCs w:val="24"/>
        </w:rPr>
      </w:pPr>
    </w:p>
    <w:p w14:paraId="7ED573A8" w14:textId="77777777" w:rsidR="00FB4DBF" w:rsidRDefault="00FB4DBF" w:rsidP="00A41290">
      <w:pPr>
        <w:spacing w:before="100" w:beforeAutospacing="1" w:after="100" w:afterAutospacing="1" w:line="240" w:lineRule="auto"/>
        <w:jc w:val="center"/>
        <w:rPr>
          <w:rFonts w:ascii="Times New Roman" w:eastAsia="Times New Roman" w:hAnsi="Times New Roman" w:cs="Times New Roman"/>
          <w:b/>
          <w:bCs/>
          <w:sz w:val="24"/>
          <w:szCs w:val="24"/>
        </w:rPr>
      </w:pPr>
    </w:p>
    <w:p w14:paraId="1D7D10E3" w14:textId="513084B7" w:rsidR="000632A4" w:rsidRPr="000632A4" w:rsidRDefault="000632A4" w:rsidP="000632A4">
      <w:pPr>
        <w:jc w:val="center"/>
        <w:rPr>
          <w:rFonts w:ascii="Times New Roman" w:hAnsi="Times New Roman" w:cs="Times New Roman"/>
          <w:b/>
          <w:bCs/>
        </w:rPr>
      </w:pPr>
      <w:r w:rsidRPr="000632A4">
        <w:rPr>
          <w:rFonts w:ascii="Times New Roman" w:hAnsi="Times New Roman" w:cs="Times New Roman"/>
          <w:b/>
          <w:bCs/>
        </w:rPr>
        <w:lastRenderedPageBreak/>
        <w:t>Abstract</w:t>
      </w:r>
    </w:p>
    <w:p w14:paraId="643B52A5" w14:textId="70BC735D" w:rsidR="000632A4" w:rsidRPr="008A3456" w:rsidRDefault="000632A4" w:rsidP="00B95D39">
      <w:pPr>
        <w:spacing w:after="0" w:line="480" w:lineRule="auto"/>
        <w:contextualSpacing/>
        <w:rPr>
          <w:rFonts w:ascii="Times New Roman" w:hAnsi="Times New Roman" w:cs="Times New Roman"/>
          <w:sz w:val="24"/>
          <w:szCs w:val="24"/>
        </w:rPr>
      </w:pPr>
      <w:r w:rsidRPr="00CA160D">
        <w:rPr>
          <w:rFonts w:ascii="Times New Roman" w:hAnsi="Times New Roman" w:cs="Times New Roman"/>
          <w:sz w:val="24"/>
          <w:szCs w:val="24"/>
        </w:rPr>
        <w:t>Patient-reported outcome (PRO) data have gained increasing prominence in both medical research and FDA-related regulatory spaces. Inherited from the traditional measurement paradigm, PROs are structured to measure bipolar traits—i.e., traits that have meaning at both ends of the scale. However, in a medical context, certain constructs, such as depression and alcoholism, manifest as unipolar traits, meaning that the trait is only meaningful at one end of the distribution but not the other. For example, a low score signifies the absence of a quality (e.g., not alcoholic) rather than a relatively lower degree of that quality (i.e., less alcoholic) when compared to others. Methods such as zero inflation may not be well-suited for modeling unipolar traits because nonzero low scores, may s</w:t>
      </w:r>
      <w:r w:rsidRPr="008A3456">
        <w:rPr>
          <w:rFonts w:ascii="Times New Roman" w:hAnsi="Times New Roman" w:cs="Times New Roman"/>
          <w:sz w:val="24"/>
          <w:szCs w:val="24"/>
        </w:rPr>
        <w:t xml:space="preserve">imply </w:t>
      </w:r>
      <w:r w:rsidRPr="00CA160D">
        <w:rPr>
          <w:rFonts w:ascii="Times New Roman" w:hAnsi="Times New Roman" w:cs="Times New Roman"/>
          <w:sz w:val="24"/>
          <w:szCs w:val="24"/>
        </w:rPr>
        <w:t>indicate the absence of the condition.</w:t>
      </w:r>
      <w:r w:rsidRPr="008A3456">
        <w:rPr>
          <w:rFonts w:ascii="Times New Roman" w:hAnsi="Times New Roman" w:cs="Times New Roman"/>
          <w:sz w:val="24"/>
          <w:szCs w:val="24"/>
        </w:rPr>
        <w:t xml:space="preserve"> </w:t>
      </w:r>
      <w:r w:rsidRPr="00CA160D">
        <w:rPr>
          <w:rFonts w:ascii="Times New Roman" w:hAnsi="Times New Roman" w:cs="Times New Roman"/>
          <w:sz w:val="24"/>
          <w:szCs w:val="24"/>
        </w:rPr>
        <w:t>In this article, we explore methods for addressing unipolarity using a partially ordered set (</w:t>
      </w:r>
      <w:proofErr w:type="spellStart"/>
      <w:r w:rsidRPr="00CA160D">
        <w:rPr>
          <w:rFonts w:ascii="Times New Roman" w:hAnsi="Times New Roman" w:cs="Times New Roman"/>
          <w:sz w:val="24"/>
          <w:szCs w:val="24"/>
        </w:rPr>
        <w:t>poset</w:t>
      </w:r>
      <w:proofErr w:type="spellEnd"/>
      <w:r w:rsidRPr="00CA160D">
        <w:rPr>
          <w:rFonts w:ascii="Times New Roman" w:hAnsi="Times New Roman" w:cs="Times New Roman"/>
          <w:sz w:val="24"/>
          <w:szCs w:val="24"/>
        </w:rPr>
        <w:t>) item response theory (IRT) model. This model decomposes response categories into two components: (1) the lowest category (e.g., "Never")</w:t>
      </w:r>
      <w:r w:rsidRPr="008A3456">
        <w:rPr>
          <w:rFonts w:ascii="Times New Roman" w:hAnsi="Times New Roman" w:cs="Times New Roman"/>
          <w:sz w:val="24"/>
          <w:szCs w:val="24"/>
        </w:rPr>
        <w:t>, which is considered qualitatively distinct from the other categories,</w:t>
      </w:r>
      <w:r w:rsidRPr="00CA160D">
        <w:rPr>
          <w:rFonts w:ascii="Times New Roman" w:hAnsi="Times New Roman" w:cs="Times New Roman"/>
          <w:sz w:val="24"/>
          <w:szCs w:val="24"/>
        </w:rPr>
        <w:t xml:space="preserve"> versus all other categories and (2) the remaining categories (e.g., "Rarely" to "Always") as ordered categories. </w:t>
      </w:r>
      <w:r w:rsidRPr="008A3456">
        <w:rPr>
          <w:rFonts w:ascii="Times New Roman" w:hAnsi="Times New Roman" w:cs="Times New Roman"/>
          <w:sz w:val="24"/>
          <w:szCs w:val="24"/>
        </w:rPr>
        <w:t>Poset c</w:t>
      </w:r>
      <w:r w:rsidRPr="00CA160D">
        <w:rPr>
          <w:rFonts w:ascii="Times New Roman" w:hAnsi="Times New Roman" w:cs="Times New Roman"/>
          <w:sz w:val="24"/>
          <w:szCs w:val="24"/>
        </w:rPr>
        <w:t>alibration is performed using a unidimensional IRT approach, which assumes that a common underlying latent trait drives both components. A real dataset (n=</w:t>
      </w:r>
      <w:r w:rsidRPr="008A3456">
        <w:rPr>
          <w:rFonts w:ascii="Times New Roman" w:hAnsi="Times New Roman" w:cs="Times New Roman"/>
          <w:sz w:val="24"/>
          <w:szCs w:val="24"/>
        </w:rPr>
        <w:t>653</w:t>
      </w:r>
      <w:r w:rsidRPr="00CA160D">
        <w:rPr>
          <w:rFonts w:ascii="Times New Roman" w:hAnsi="Times New Roman" w:cs="Times New Roman"/>
          <w:sz w:val="24"/>
          <w:szCs w:val="24"/>
        </w:rPr>
        <w:t xml:space="preserve">) of breast cancer survivors containing depression data was used to illustrate the exploratory analysis. Scenarios both including and excluding "non-depressed" patients were examined using the </w:t>
      </w:r>
      <w:proofErr w:type="spellStart"/>
      <w:r w:rsidRPr="00CA160D">
        <w:rPr>
          <w:rFonts w:ascii="Times New Roman" w:hAnsi="Times New Roman" w:cs="Times New Roman"/>
          <w:sz w:val="24"/>
          <w:szCs w:val="24"/>
        </w:rPr>
        <w:t>poset</w:t>
      </w:r>
      <w:proofErr w:type="spellEnd"/>
      <w:r w:rsidRPr="00CA160D">
        <w:rPr>
          <w:rFonts w:ascii="Times New Roman" w:hAnsi="Times New Roman" w:cs="Times New Roman"/>
          <w:sz w:val="24"/>
          <w:szCs w:val="24"/>
        </w:rPr>
        <w:t xml:space="preserve"> IRT and the graded response model (GRM). This study also highlights the feasibility of the approach and explores potential extensions, such as incorporating a "Not Applicable" (NA) option and conducting multidimensional analyses.</w:t>
      </w:r>
    </w:p>
    <w:p w14:paraId="018D17BD" w14:textId="77777777" w:rsidR="000632A4" w:rsidRPr="008A3456" w:rsidRDefault="000632A4" w:rsidP="000632A4">
      <w:pPr>
        <w:rPr>
          <w:rFonts w:ascii="Times New Roman" w:hAnsi="Times New Roman" w:cs="Times New Roman"/>
          <w:sz w:val="24"/>
          <w:szCs w:val="24"/>
        </w:rPr>
      </w:pPr>
    </w:p>
    <w:p w14:paraId="1A491145" w14:textId="1E640030" w:rsidR="000632A4" w:rsidRPr="00CA160D" w:rsidRDefault="000632A4" w:rsidP="000632A4">
      <w:pPr>
        <w:rPr>
          <w:rFonts w:ascii="Times New Roman" w:hAnsi="Times New Roman" w:cs="Times New Roman"/>
          <w:sz w:val="24"/>
          <w:szCs w:val="24"/>
        </w:rPr>
      </w:pPr>
      <w:r w:rsidRPr="008A3456">
        <w:rPr>
          <w:rFonts w:ascii="Times New Roman" w:hAnsi="Times New Roman" w:cs="Times New Roman"/>
          <w:sz w:val="24"/>
          <w:szCs w:val="24"/>
        </w:rPr>
        <w:t xml:space="preserve">Key words: </w:t>
      </w:r>
      <w:r w:rsidR="00B95D39" w:rsidRPr="008A3456">
        <w:rPr>
          <w:rFonts w:ascii="Times New Roman" w:hAnsi="Times New Roman" w:cs="Times New Roman"/>
          <w:sz w:val="24"/>
          <w:szCs w:val="24"/>
        </w:rPr>
        <w:t xml:space="preserve">patient reported outcome, IRT, latent class model, depression, </w:t>
      </w:r>
      <w:proofErr w:type="spellStart"/>
      <w:r w:rsidR="00B95D39" w:rsidRPr="008A3456">
        <w:rPr>
          <w:rFonts w:ascii="Times New Roman" w:hAnsi="Times New Roman" w:cs="Times New Roman"/>
          <w:sz w:val="24"/>
          <w:szCs w:val="24"/>
        </w:rPr>
        <w:t>poset</w:t>
      </w:r>
      <w:proofErr w:type="spellEnd"/>
      <w:r w:rsidR="00B95D39" w:rsidRPr="008A3456">
        <w:rPr>
          <w:rFonts w:ascii="Times New Roman" w:hAnsi="Times New Roman" w:cs="Times New Roman"/>
          <w:sz w:val="24"/>
          <w:szCs w:val="24"/>
        </w:rPr>
        <w:t xml:space="preserve"> IRT</w:t>
      </w:r>
    </w:p>
    <w:p w14:paraId="74265F1A" w14:textId="77777777" w:rsidR="00FB4DBF" w:rsidRDefault="00FB4DBF" w:rsidP="00D56AFB">
      <w:pPr>
        <w:spacing w:before="100" w:beforeAutospacing="1" w:after="100" w:afterAutospacing="1" w:line="240" w:lineRule="auto"/>
        <w:rPr>
          <w:rFonts w:ascii="Times New Roman" w:eastAsia="Times New Roman" w:hAnsi="Times New Roman" w:cs="Times New Roman"/>
          <w:b/>
          <w:bCs/>
          <w:sz w:val="24"/>
          <w:szCs w:val="24"/>
        </w:rPr>
      </w:pPr>
    </w:p>
    <w:p w14:paraId="583FE8D9" w14:textId="77777777" w:rsidR="00FB4DBF" w:rsidRDefault="00FB4DBF" w:rsidP="00A41290">
      <w:pPr>
        <w:spacing w:before="100" w:beforeAutospacing="1" w:after="100" w:afterAutospacing="1" w:line="240" w:lineRule="auto"/>
        <w:jc w:val="center"/>
        <w:rPr>
          <w:rFonts w:ascii="Times New Roman" w:eastAsia="Times New Roman" w:hAnsi="Times New Roman" w:cs="Times New Roman"/>
          <w:b/>
          <w:bCs/>
          <w:sz w:val="24"/>
          <w:szCs w:val="24"/>
        </w:rPr>
      </w:pPr>
    </w:p>
    <w:p w14:paraId="7F334481" w14:textId="7F1B6007" w:rsidR="007E01C0" w:rsidRPr="007E01C0" w:rsidRDefault="007E01C0" w:rsidP="00D56AFB">
      <w:pPr>
        <w:spacing w:after="0" w:line="480" w:lineRule="auto"/>
        <w:jc w:val="center"/>
        <w:rPr>
          <w:rFonts w:ascii="Times New Roman" w:eastAsia="Times New Roman" w:hAnsi="Times New Roman" w:cs="Times New Roman"/>
          <w:sz w:val="24"/>
          <w:szCs w:val="24"/>
        </w:rPr>
      </w:pPr>
      <w:r w:rsidRPr="007E01C0">
        <w:rPr>
          <w:rFonts w:ascii="Times New Roman" w:eastAsia="Times New Roman" w:hAnsi="Times New Roman" w:cs="Times New Roman"/>
          <w:b/>
          <w:bCs/>
          <w:sz w:val="24"/>
          <w:szCs w:val="24"/>
        </w:rPr>
        <w:t xml:space="preserve">Latent Variable Modeling for Unipolar Constructs in Health </w:t>
      </w:r>
      <w:proofErr w:type="gramStart"/>
      <w:r w:rsidRPr="007E01C0">
        <w:rPr>
          <w:rFonts w:ascii="Times New Roman" w:eastAsia="Times New Roman" w:hAnsi="Times New Roman" w:cs="Times New Roman"/>
          <w:b/>
          <w:bCs/>
          <w:sz w:val="24"/>
          <w:szCs w:val="24"/>
        </w:rPr>
        <w:t>Sciences</w:t>
      </w:r>
      <w:r w:rsidR="00F73372">
        <w:rPr>
          <w:rFonts w:ascii="Times New Roman" w:eastAsia="Times New Roman" w:hAnsi="Times New Roman" w:cs="Times New Roman"/>
          <w:b/>
          <w:bCs/>
          <w:sz w:val="24"/>
          <w:szCs w:val="24"/>
        </w:rPr>
        <w:t xml:space="preserve"> :</w:t>
      </w:r>
      <w:proofErr w:type="gramEnd"/>
      <w:r w:rsidR="00F73372">
        <w:rPr>
          <w:rFonts w:ascii="Times New Roman" w:eastAsia="Times New Roman" w:hAnsi="Times New Roman" w:cs="Times New Roman"/>
          <w:b/>
          <w:bCs/>
          <w:sz w:val="24"/>
          <w:szCs w:val="24"/>
        </w:rPr>
        <w:t xml:space="preserve"> </w:t>
      </w:r>
      <w:r w:rsidR="007E44A4">
        <w:rPr>
          <w:rFonts w:ascii="Times New Roman" w:eastAsia="Times New Roman" w:hAnsi="Times New Roman" w:cs="Times New Roman"/>
          <w:b/>
          <w:bCs/>
          <w:sz w:val="24"/>
          <w:szCs w:val="24"/>
        </w:rPr>
        <w:t>Partially Ordered S</w:t>
      </w:r>
      <w:r w:rsidR="00FC464B">
        <w:rPr>
          <w:rFonts w:ascii="Times New Roman" w:eastAsia="Times New Roman" w:hAnsi="Times New Roman" w:cs="Times New Roman"/>
          <w:b/>
          <w:bCs/>
          <w:sz w:val="24"/>
          <w:szCs w:val="24"/>
        </w:rPr>
        <w:t xml:space="preserve">caling </w:t>
      </w:r>
      <w:r w:rsidR="007E44A4">
        <w:rPr>
          <w:rFonts w:ascii="Times New Roman" w:eastAsia="Times New Roman" w:hAnsi="Times New Roman" w:cs="Times New Roman"/>
          <w:b/>
          <w:bCs/>
          <w:sz w:val="24"/>
          <w:szCs w:val="24"/>
        </w:rPr>
        <w:t>P</w:t>
      </w:r>
      <w:r w:rsidR="00FC464B">
        <w:rPr>
          <w:rFonts w:ascii="Times New Roman" w:eastAsia="Times New Roman" w:hAnsi="Times New Roman" w:cs="Times New Roman"/>
          <w:b/>
          <w:bCs/>
          <w:sz w:val="24"/>
          <w:szCs w:val="24"/>
        </w:rPr>
        <w:t xml:space="preserve">rocedure </w:t>
      </w:r>
      <w:r w:rsidR="007E44A4">
        <w:rPr>
          <w:rFonts w:ascii="Times New Roman" w:eastAsia="Times New Roman" w:hAnsi="Times New Roman" w:cs="Times New Roman"/>
          <w:b/>
          <w:bCs/>
          <w:sz w:val="24"/>
          <w:szCs w:val="24"/>
        </w:rPr>
        <w:t>for Including Reference Population</w:t>
      </w:r>
    </w:p>
    <w:p w14:paraId="654E22B5" w14:textId="77777777" w:rsidR="008D4E3C" w:rsidRPr="007E01C0" w:rsidRDefault="008D4E3C" w:rsidP="00D56AFB">
      <w:pPr>
        <w:spacing w:after="0" w:line="480" w:lineRule="auto"/>
        <w:rPr>
          <w:rFonts w:ascii="Times New Roman" w:eastAsia="Times New Roman" w:hAnsi="Times New Roman" w:cs="Times New Roman"/>
          <w:sz w:val="24"/>
          <w:szCs w:val="24"/>
        </w:rPr>
      </w:pPr>
      <w:r w:rsidRPr="007E01C0">
        <w:rPr>
          <w:rFonts w:ascii="Times New Roman" w:eastAsia="Times New Roman" w:hAnsi="Times New Roman" w:cs="Times New Roman"/>
          <w:sz w:val="24"/>
          <w:szCs w:val="24"/>
        </w:rPr>
        <w:t xml:space="preserve">A patient-reported outcome (PRO) is a measure of a health-related construct that comes directly from a patient. When a PRO is operationalized for data analysis, certain assumptions must be made about the measure. Many PROs have been developed for specific populations of patients, and some constructs may not be </w:t>
      </w:r>
      <w:r>
        <w:rPr>
          <w:rFonts w:ascii="Times New Roman" w:eastAsia="Times New Roman" w:hAnsi="Times New Roman" w:cs="Times New Roman"/>
          <w:sz w:val="24"/>
          <w:szCs w:val="24"/>
        </w:rPr>
        <w:t xml:space="preserve">directly </w:t>
      </w:r>
      <w:r w:rsidRPr="007E01C0">
        <w:rPr>
          <w:rFonts w:ascii="Times New Roman" w:eastAsia="Times New Roman" w:hAnsi="Times New Roman" w:cs="Times New Roman"/>
          <w:sz w:val="24"/>
          <w:szCs w:val="24"/>
        </w:rPr>
        <w:t xml:space="preserve">relevant to a "healthy" subpopulation. </w:t>
      </w:r>
      <w:r>
        <w:rPr>
          <w:rFonts w:ascii="Times New Roman" w:eastAsia="Times New Roman" w:hAnsi="Times New Roman" w:cs="Times New Roman"/>
          <w:sz w:val="24"/>
          <w:szCs w:val="24"/>
        </w:rPr>
        <w:t xml:space="preserve">An obvious example is perceived stigma, or perceived undesired “differentness” that deprives individual of full acceptance (Goffman, 1963). This kind of measure is likely to be relevant to patients that have some form of noticeable chronic condition such as epilepsy or muscular atrophy (Lai et al., 2024). </w:t>
      </w:r>
      <w:r w:rsidRPr="007E01C0">
        <w:rPr>
          <w:rFonts w:ascii="Times New Roman" w:eastAsia="Times New Roman" w:hAnsi="Times New Roman" w:cs="Times New Roman"/>
          <w:sz w:val="24"/>
          <w:szCs w:val="24"/>
        </w:rPr>
        <w:t>A</w:t>
      </w:r>
      <w:r>
        <w:rPr>
          <w:rFonts w:ascii="Times New Roman" w:eastAsia="Times New Roman" w:hAnsi="Times New Roman" w:cs="Times New Roman"/>
          <w:sz w:val="24"/>
          <w:szCs w:val="24"/>
        </w:rPr>
        <w:t xml:space="preserve"> more nuanced</w:t>
      </w:r>
      <w:r w:rsidRPr="007E01C0">
        <w:rPr>
          <w:rFonts w:ascii="Times New Roman" w:eastAsia="Times New Roman" w:hAnsi="Times New Roman" w:cs="Times New Roman"/>
          <w:sz w:val="24"/>
          <w:szCs w:val="24"/>
        </w:rPr>
        <w:t xml:space="preserve"> example is </w:t>
      </w:r>
      <w:r>
        <w:rPr>
          <w:rFonts w:ascii="Times New Roman" w:eastAsia="Times New Roman" w:hAnsi="Times New Roman" w:cs="Times New Roman"/>
          <w:sz w:val="24"/>
          <w:szCs w:val="24"/>
        </w:rPr>
        <w:t>anxiety/</w:t>
      </w:r>
      <w:r w:rsidRPr="007E01C0">
        <w:rPr>
          <w:rFonts w:ascii="Times New Roman" w:eastAsia="Times New Roman" w:hAnsi="Times New Roman" w:cs="Times New Roman"/>
          <w:sz w:val="24"/>
          <w:szCs w:val="24"/>
        </w:rPr>
        <w:t>depression, which is typically assessed in individuals with mood disorders</w:t>
      </w:r>
      <w:r>
        <w:rPr>
          <w:rFonts w:ascii="Times New Roman" w:eastAsia="Times New Roman" w:hAnsi="Times New Roman" w:cs="Times New Roman"/>
          <w:sz w:val="24"/>
          <w:szCs w:val="24"/>
        </w:rPr>
        <w:t>. However, the measure would be more meaningful if</w:t>
      </w:r>
      <w:r w:rsidRPr="007E01C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the scale can be referenced to </w:t>
      </w:r>
      <w:r w:rsidRPr="007E01C0">
        <w:rPr>
          <w:rFonts w:ascii="Times New Roman" w:eastAsia="Times New Roman" w:hAnsi="Times New Roman" w:cs="Times New Roman"/>
          <w:sz w:val="24"/>
          <w:szCs w:val="24"/>
        </w:rPr>
        <w:t xml:space="preserve">individuals without </w:t>
      </w:r>
      <w:r>
        <w:rPr>
          <w:rFonts w:ascii="Times New Roman" w:eastAsia="Times New Roman" w:hAnsi="Times New Roman" w:cs="Times New Roman"/>
          <w:sz w:val="24"/>
          <w:szCs w:val="24"/>
        </w:rPr>
        <w:t>clinical</w:t>
      </w:r>
      <w:r w:rsidRPr="007E01C0">
        <w:rPr>
          <w:rFonts w:ascii="Times New Roman" w:eastAsia="Times New Roman" w:hAnsi="Times New Roman" w:cs="Times New Roman"/>
          <w:sz w:val="24"/>
          <w:szCs w:val="24"/>
        </w:rPr>
        <w:t xml:space="preserve"> conditions</w:t>
      </w:r>
      <w:r>
        <w:rPr>
          <w:rFonts w:ascii="Times New Roman" w:eastAsia="Times New Roman" w:hAnsi="Times New Roman" w:cs="Times New Roman"/>
          <w:sz w:val="24"/>
          <w:szCs w:val="24"/>
        </w:rPr>
        <w:t xml:space="preserve"> but having day-to-day “normal” fluctuations of mood</w:t>
      </w:r>
      <w:r w:rsidRPr="007E01C0">
        <w:rPr>
          <w:rFonts w:ascii="Times New Roman" w:eastAsia="Times New Roman" w:hAnsi="Times New Roman" w:cs="Times New Roman"/>
          <w:sz w:val="24"/>
          <w:szCs w:val="24"/>
        </w:rPr>
        <w:t xml:space="preserve">. Other </w:t>
      </w:r>
      <w:r>
        <w:rPr>
          <w:rFonts w:ascii="Times New Roman" w:eastAsia="Times New Roman" w:hAnsi="Times New Roman" w:cs="Times New Roman"/>
          <w:sz w:val="24"/>
          <w:szCs w:val="24"/>
        </w:rPr>
        <w:t xml:space="preserve">such </w:t>
      </w:r>
      <w:r w:rsidRPr="007E01C0">
        <w:rPr>
          <w:rFonts w:ascii="Times New Roman" w:eastAsia="Times New Roman" w:hAnsi="Times New Roman" w:cs="Times New Roman"/>
          <w:sz w:val="24"/>
          <w:szCs w:val="24"/>
        </w:rPr>
        <w:t xml:space="preserve">examples of </w:t>
      </w:r>
      <w:r>
        <w:rPr>
          <w:rFonts w:ascii="Times New Roman" w:eastAsia="Times New Roman" w:hAnsi="Times New Roman" w:cs="Times New Roman"/>
          <w:sz w:val="24"/>
          <w:szCs w:val="24"/>
        </w:rPr>
        <w:t xml:space="preserve">unipolar </w:t>
      </w:r>
      <w:r w:rsidRPr="007E01C0">
        <w:rPr>
          <w:rFonts w:ascii="Times New Roman" w:eastAsia="Times New Roman" w:hAnsi="Times New Roman" w:cs="Times New Roman"/>
          <w:sz w:val="24"/>
          <w:szCs w:val="24"/>
        </w:rPr>
        <w:t>PROs include symptoms resulting from cancer treatment</w:t>
      </w:r>
      <w:r>
        <w:rPr>
          <w:rFonts w:ascii="Times New Roman" w:eastAsia="Times New Roman" w:hAnsi="Times New Roman" w:cs="Times New Roman"/>
          <w:sz w:val="24"/>
          <w:szCs w:val="24"/>
        </w:rPr>
        <w:t xml:space="preserve"> (Tran et al., 2021)</w:t>
      </w:r>
      <w:r w:rsidRPr="007E01C0">
        <w:rPr>
          <w:rFonts w:ascii="Times New Roman" w:eastAsia="Times New Roman" w:hAnsi="Times New Roman" w:cs="Times New Roman"/>
          <w:sz w:val="24"/>
          <w:szCs w:val="24"/>
        </w:rPr>
        <w:t>, alcoholism</w:t>
      </w:r>
      <w:r>
        <w:rPr>
          <w:rFonts w:ascii="Times New Roman" w:eastAsia="Times New Roman" w:hAnsi="Times New Roman" w:cs="Times New Roman"/>
          <w:sz w:val="24"/>
          <w:szCs w:val="24"/>
        </w:rPr>
        <w:t xml:space="preserve"> (Toner et al., 2019)</w:t>
      </w:r>
      <w:r w:rsidRPr="007E01C0">
        <w:rPr>
          <w:rFonts w:ascii="Times New Roman" w:eastAsia="Times New Roman" w:hAnsi="Times New Roman" w:cs="Times New Roman"/>
          <w:sz w:val="24"/>
          <w:szCs w:val="24"/>
        </w:rPr>
        <w:t>, drug abuse</w:t>
      </w:r>
      <w:r>
        <w:rPr>
          <w:rFonts w:ascii="Times New Roman" w:eastAsia="Times New Roman" w:hAnsi="Times New Roman" w:cs="Times New Roman"/>
          <w:sz w:val="24"/>
          <w:szCs w:val="24"/>
        </w:rPr>
        <w:t xml:space="preserve"> (Skinner, 1982)</w:t>
      </w:r>
      <w:r w:rsidRPr="007E01C0">
        <w:rPr>
          <w:rFonts w:ascii="Times New Roman" w:eastAsia="Times New Roman" w:hAnsi="Times New Roman" w:cs="Times New Roman"/>
          <w:sz w:val="24"/>
          <w:szCs w:val="24"/>
        </w:rPr>
        <w:t>, and pain</w:t>
      </w:r>
      <w:r>
        <w:rPr>
          <w:rFonts w:ascii="Times New Roman" w:eastAsia="Times New Roman" w:hAnsi="Times New Roman" w:cs="Times New Roman"/>
          <w:sz w:val="24"/>
          <w:szCs w:val="24"/>
        </w:rPr>
        <w:t xml:space="preserve"> (</w:t>
      </w:r>
      <w:proofErr w:type="spellStart"/>
      <w:r w:rsidRPr="00900AE2">
        <w:rPr>
          <w:rFonts w:ascii="Times New Roman" w:eastAsia="Times New Roman" w:hAnsi="Times New Roman" w:cs="Times New Roman"/>
          <w:sz w:val="24"/>
          <w:szCs w:val="24"/>
        </w:rPr>
        <w:t>Revicki</w:t>
      </w:r>
      <w:proofErr w:type="spellEnd"/>
      <w:r>
        <w:rPr>
          <w:rFonts w:ascii="Times New Roman" w:eastAsia="Times New Roman" w:hAnsi="Times New Roman" w:cs="Times New Roman"/>
          <w:sz w:val="24"/>
          <w:szCs w:val="24"/>
        </w:rPr>
        <w:t xml:space="preserve"> et al., 2009; </w:t>
      </w:r>
      <w:r w:rsidRPr="00900AE2">
        <w:rPr>
          <w:rFonts w:ascii="Times New Roman" w:eastAsia="Times New Roman" w:hAnsi="Times New Roman" w:cs="Times New Roman"/>
          <w:sz w:val="24"/>
          <w:szCs w:val="24"/>
        </w:rPr>
        <w:t>Amtmann</w:t>
      </w:r>
      <w:r>
        <w:rPr>
          <w:rFonts w:ascii="Times New Roman" w:eastAsia="Times New Roman" w:hAnsi="Times New Roman" w:cs="Times New Roman"/>
          <w:sz w:val="24"/>
          <w:szCs w:val="24"/>
        </w:rPr>
        <w:t xml:space="preserve"> et al., 2010).</w:t>
      </w:r>
    </w:p>
    <w:p w14:paraId="01966B46" w14:textId="77777777" w:rsidR="008D4E3C" w:rsidRDefault="008D4E3C" w:rsidP="00D56AFB">
      <w:pPr>
        <w:spacing w:after="0" w:line="480" w:lineRule="auto"/>
        <w:ind w:firstLine="720"/>
        <w:rPr>
          <w:rFonts w:ascii="Times New Roman" w:eastAsia="Times New Roman" w:hAnsi="Times New Roman" w:cs="Times New Roman"/>
          <w:sz w:val="24"/>
          <w:szCs w:val="24"/>
        </w:rPr>
      </w:pPr>
      <w:r w:rsidRPr="007E01C0">
        <w:rPr>
          <w:rFonts w:ascii="Times New Roman" w:eastAsia="Times New Roman" w:hAnsi="Times New Roman" w:cs="Times New Roman"/>
          <w:sz w:val="24"/>
          <w:szCs w:val="24"/>
        </w:rPr>
        <w:t>Th</w:t>
      </w:r>
      <w:r>
        <w:rPr>
          <w:rFonts w:ascii="Times New Roman" w:eastAsia="Times New Roman" w:hAnsi="Times New Roman" w:cs="Times New Roman"/>
          <w:sz w:val="24"/>
          <w:szCs w:val="24"/>
        </w:rPr>
        <w:t>e relevance</w:t>
      </w:r>
      <w:r w:rsidRPr="007E01C0">
        <w:rPr>
          <w:rFonts w:ascii="Times New Roman" w:eastAsia="Times New Roman" w:hAnsi="Times New Roman" w:cs="Times New Roman"/>
          <w:sz w:val="24"/>
          <w:szCs w:val="24"/>
        </w:rPr>
        <w:t xml:space="preserve"> issue is closely related to the concept of unipolarity, where one end of a scale is not meaningful to some respondents. It is also related to the statistical challenge known as the inflated zero problem but is more complex. In unipolar constructs, a very low score (e.g., 0) reflects the absence of a quality rather than simply a relatively low score below the mean (Reise et al., 2021). This leads to measurement challenges, as the scale is not meaningful at the very low end, rendering some individuals "non-scalable." The distribution of scores tends to be quasi-continuous with a "floor effect," and measurement developers cannot construct items at the low end to adequately spread out the scale.</w:t>
      </w:r>
    </w:p>
    <w:p w14:paraId="029E1707" w14:textId="77777777" w:rsidR="008D4E3C" w:rsidRDefault="008D4E3C" w:rsidP="00D56AFB">
      <w:pPr>
        <w:spacing w:after="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Apparently, there are practical implications for the construction of PRO and calibration for concepts that are deemed unipolar. For example, should the general/healthy population be excluded from the psychometric scaling process? Should all items in the PRO measure be constructed in such a way that they are only relevant to the diseased population. While one can argue that unipolarity is theoretically justifiable and real, in practice there may not be a clear and well-defined demarcation line between unipolar and non-unipolar constructs. For example, it may not be practical to only include truly depressed individuals into a sample for scaling a PRO designed to measure depression. First, depression scales are often used – for example, as a screening tool prior to a patient who may undergo a clinical assessment for depression. Second, only including clinically depressed patients would significantly narrow the applicability of the scale. There would not be a meaningful reference point as how such a narrow scale can be interpreted, as opposed to a scale that includes the general population in its calibration. </w:t>
      </w:r>
    </w:p>
    <w:p w14:paraId="05E61CAC" w14:textId="77777777" w:rsidR="008D4E3C" w:rsidRDefault="008D4E3C" w:rsidP="00D56AFB">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At the item level, the relevance issue persists. Some items may be applicable to the general </w:t>
      </w:r>
      <w:proofErr w:type="gramStart"/>
      <w:r>
        <w:rPr>
          <w:rFonts w:ascii="Times New Roman" w:eastAsia="Times New Roman" w:hAnsi="Times New Roman" w:cs="Times New Roman"/>
          <w:sz w:val="24"/>
          <w:szCs w:val="24"/>
        </w:rPr>
        <w:t>population</w:t>
      </w:r>
      <w:proofErr w:type="gramEnd"/>
      <w:r>
        <w:rPr>
          <w:rFonts w:ascii="Times New Roman" w:eastAsia="Times New Roman" w:hAnsi="Times New Roman" w:cs="Times New Roman"/>
          <w:sz w:val="24"/>
          <w:szCs w:val="24"/>
        </w:rPr>
        <w:t xml:space="preserve"> but others may not be meaningful when the respondent to the item is not affected by the disease. For example, in the Alcohol Dependence Scale (ADS; Skinner &amp; Allen, 1982), the item “</w:t>
      </w:r>
      <w:r w:rsidRPr="000A76E2">
        <w:rPr>
          <w:rFonts w:ascii="Times New Roman" w:eastAsia="Times New Roman" w:hAnsi="Times New Roman" w:cs="Times New Roman"/>
          <w:sz w:val="24"/>
          <w:szCs w:val="24"/>
        </w:rPr>
        <w:t>When you drink, do you stumble about, stagger, and weave?</w:t>
      </w:r>
      <w:r>
        <w:rPr>
          <w:rFonts w:ascii="Times New Roman" w:eastAsia="Times New Roman" w:hAnsi="Times New Roman" w:cs="Times New Roman"/>
          <w:sz w:val="24"/>
          <w:szCs w:val="24"/>
        </w:rPr>
        <w:t>” may be relevant to the general population, but another item “</w:t>
      </w:r>
      <w:r w:rsidRPr="004A30A6">
        <w:rPr>
          <w:rFonts w:ascii="Times New Roman" w:eastAsia="Times New Roman" w:hAnsi="Times New Roman" w:cs="Times New Roman"/>
          <w:sz w:val="24"/>
          <w:szCs w:val="24"/>
        </w:rPr>
        <w:t>After a period of abstinence (not drinking), do you end up drinking heavily again?</w:t>
      </w:r>
      <w:r>
        <w:rPr>
          <w:rFonts w:ascii="Times New Roman" w:eastAsia="Times New Roman" w:hAnsi="Times New Roman" w:cs="Times New Roman"/>
          <w:sz w:val="24"/>
          <w:szCs w:val="24"/>
        </w:rPr>
        <w:t xml:space="preserve">” may not. We therefore will need a robust approach for scaling items that may or may not be relevant to the general population. </w:t>
      </w:r>
    </w:p>
    <w:p w14:paraId="4D7066C1" w14:textId="295B6863" w:rsidR="009E05C3" w:rsidRPr="009267DC" w:rsidRDefault="008D4E3C" w:rsidP="00D56AFB">
      <w:pPr>
        <w:spacing w:after="0" w:line="480" w:lineRule="auto"/>
        <w:ind w:firstLine="720"/>
        <w:rPr>
          <w:rFonts w:ascii="Times New Roman" w:eastAsia="Times New Roman" w:hAnsi="Times New Roman" w:cs="Times New Roman"/>
          <w:b/>
          <w:bCs/>
          <w:sz w:val="24"/>
          <w:szCs w:val="24"/>
        </w:rPr>
      </w:pPr>
      <w:r>
        <w:rPr>
          <w:rFonts w:ascii="Times New Roman" w:eastAsia="Times New Roman" w:hAnsi="Times New Roman" w:cs="Times New Roman"/>
          <w:sz w:val="24"/>
          <w:szCs w:val="24"/>
        </w:rPr>
        <w:t xml:space="preserve">The purpose of this article is to explore psychometric analysis that could be used to handle the scaling process for constructs in which unipolarity is of concern. </w:t>
      </w:r>
      <w:proofErr w:type="gramStart"/>
      <w:r>
        <w:rPr>
          <w:rFonts w:ascii="Times New Roman" w:eastAsia="Times New Roman" w:hAnsi="Times New Roman" w:cs="Times New Roman"/>
          <w:sz w:val="24"/>
          <w:szCs w:val="24"/>
        </w:rPr>
        <w:t>Specifically</w:t>
      </w:r>
      <w:proofErr w:type="gramEnd"/>
      <w:r>
        <w:rPr>
          <w:rFonts w:ascii="Times New Roman" w:eastAsia="Times New Roman" w:hAnsi="Times New Roman" w:cs="Times New Roman"/>
          <w:sz w:val="24"/>
          <w:szCs w:val="24"/>
        </w:rPr>
        <w:t xml:space="preserve"> these analyses are based on a partial-order scaling method that treats ordered categories within an item as having two separate components. Consider the PROMIS emotional distress-anxiety measure (</w:t>
      </w:r>
      <w:proofErr w:type="spellStart"/>
      <w:r w:rsidRPr="00397F4E">
        <w:rPr>
          <w:rFonts w:ascii="Times New Roman" w:eastAsia="Times New Roman" w:hAnsi="Times New Roman" w:cs="Times New Roman"/>
          <w:sz w:val="24"/>
          <w:szCs w:val="24"/>
        </w:rPr>
        <w:t>Pilkonis</w:t>
      </w:r>
      <w:proofErr w:type="spellEnd"/>
      <w:r>
        <w:rPr>
          <w:rFonts w:ascii="Times New Roman" w:eastAsia="Times New Roman" w:hAnsi="Times New Roman" w:cs="Times New Roman"/>
          <w:sz w:val="24"/>
          <w:szCs w:val="24"/>
        </w:rPr>
        <w:t xml:space="preserve"> et al., 2014). An item such as “In the past 7 days, I felt fearful” contains 5 response categories from Never, Rarely to Always. One may want to treat “Never” as distinct from the other categories. The partial-order scaling method decomposes the response categories into “Never” vs other categories (component 1); and then Rarely to Always as ordered categories (component 2). Calibration takes the form of a unidimensional IRT which posits that a common underlying latent trait drives both components 1 and 2. Commonly used IRT software packages can be used to estimate such models. Multidimensional extension of the </w:t>
      </w:r>
      <w:proofErr w:type="spellStart"/>
      <w:r>
        <w:rPr>
          <w:rFonts w:ascii="Times New Roman" w:eastAsia="Times New Roman" w:hAnsi="Times New Roman" w:cs="Times New Roman"/>
          <w:sz w:val="24"/>
          <w:szCs w:val="24"/>
        </w:rPr>
        <w:t>poset</w:t>
      </w:r>
      <w:proofErr w:type="spellEnd"/>
      <w:r>
        <w:rPr>
          <w:rFonts w:ascii="Times New Roman" w:eastAsia="Times New Roman" w:hAnsi="Times New Roman" w:cs="Times New Roman"/>
          <w:sz w:val="24"/>
          <w:szCs w:val="24"/>
        </w:rPr>
        <w:t xml:space="preserve"> model is also possible with the use of existing software. In this article, we use a real data example that contains a measure of depressive symptoms in a population of breast-cancer patients to illustrate the </w:t>
      </w:r>
      <w:proofErr w:type="spellStart"/>
      <w:r>
        <w:rPr>
          <w:rFonts w:ascii="Times New Roman" w:eastAsia="Times New Roman" w:hAnsi="Times New Roman" w:cs="Times New Roman"/>
          <w:sz w:val="24"/>
          <w:szCs w:val="24"/>
        </w:rPr>
        <w:t>poset</w:t>
      </w:r>
      <w:proofErr w:type="spellEnd"/>
      <w:r>
        <w:rPr>
          <w:rFonts w:ascii="Times New Roman" w:eastAsia="Times New Roman" w:hAnsi="Times New Roman" w:cs="Times New Roman"/>
          <w:sz w:val="24"/>
          <w:szCs w:val="24"/>
        </w:rPr>
        <w:t xml:space="preserve"> approach. </w:t>
      </w:r>
    </w:p>
    <w:p w14:paraId="3C8338FC" w14:textId="6EA6F813" w:rsidR="008A5C2C" w:rsidRPr="009267DC" w:rsidRDefault="003D48C7" w:rsidP="00D56AFB">
      <w:pPr>
        <w:spacing w:after="0" w:line="480" w:lineRule="auto"/>
        <w:jc w:val="center"/>
        <w:rPr>
          <w:rFonts w:ascii="Times New Roman" w:eastAsia="Times New Roman" w:hAnsi="Times New Roman" w:cs="Times New Roman"/>
          <w:b/>
          <w:bCs/>
          <w:sz w:val="24"/>
          <w:szCs w:val="24"/>
        </w:rPr>
      </w:pPr>
      <w:r w:rsidRPr="009267DC">
        <w:rPr>
          <w:rFonts w:ascii="Times New Roman" w:eastAsia="Times New Roman" w:hAnsi="Times New Roman" w:cs="Times New Roman"/>
          <w:b/>
          <w:bCs/>
          <w:sz w:val="24"/>
          <w:szCs w:val="24"/>
        </w:rPr>
        <w:t>B</w:t>
      </w:r>
      <w:r w:rsidR="009267DC" w:rsidRPr="009267DC">
        <w:rPr>
          <w:rFonts w:ascii="Times New Roman" w:eastAsia="Times New Roman" w:hAnsi="Times New Roman" w:cs="Times New Roman"/>
          <w:b/>
          <w:bCs/>
          <w:sz w:val="24"/>
          <w:szCs w:val="24"/>
        </w:rPr>
        <w:t>ackground</w:t>
      </w:r>
    </w:p>
    <w:p w14:paraId="4B10ADFE" w14:textId="77777777" w:rsidR="00D23849" w:rsidRPr="001A3F28" w:rsidRDefault="00D23849" w:rsidP="00D56AFB">
      <w:pPr>
        <w:spacing w:after="0" w:line="480" w:lineRule="auto"/>
        <w:rPr>
          <w:rFonts w:ascii="Times New Roman" w:eastAsia="Times New Roman" w:hAnsi="Times New Roman" w:cs="Times New Roman"/>
          <w:b/>
          <w:bCs/>
          <w:sz w:val="24"/>
          <w:szCs w:val="24"/>
        </w:rPr>
      </w:pPr>
      <w:r w:rsidRPr="001A3F28">
        <w:rPr>
          <w:rFonts w:ascii="Times New Roman" w:eastAsia="Times New Roman" w:hAnsi="Times New Roman" w:cs="Times New Roman"/>
          <w:b/>
          <w:bCs/>
          <w:sz w:val="24"/>
          <w:szCs w:val="24"/>
        </w:rPr>
        <w:t xml:space="preserve">Who to </w:t>
      </w:r>
      <w:r>
        <w:rPr>
          <w:rFonts w:ascii="Times New Roman" w:eastAsia="Times New Roman" w:hAnsi="Times New Roman" w:cs="Times New Roman"/>
          <w:b/>
          <w:bCs/>
          <w:sz w:val="24"/>
          <w:szCs w:val="24"/>
        </w:rPr>
        <w:t>I</w:t>
      </w:r>
      <w:r w:rsidRPr="001A3F28">
        <w:rPr>
          <w:rFonts w:ascii="Times New Roman" w:eastAsia="Times New Roman" w:hAnsi="Times New Roman" w:cs="Times New Roman"/>
          <w:b/>
          <w:bCs/>
          <w:sz w:val="24"/>
          <w:szCs w:val="24"/>
        </w:rPr>
        <w:t xml:space="preserve">nclude for </w:t>
      </w:r>
      <w:r>
        <w:rPr>
          <w:rFonts w:ascii="Times New Roman" w:eastAsia="Times New Roman" w:hAnsi="Times New Roman" w:cs="Times New Roman"/>
          <w:b/>
          <w:bCs/>
          <w:sz w:val="24"/>
          <w:szCs w:val="24"/>
        </w:rPr>
        <w:t>C</w:t>
      </w:r>
      <w:r w:rsidRPr="001A3F28">
        <w:rPr>
          <w:rFonts w:ascii="Times New Roman" w:eastAsia="Times New Roman" w:hAnsi="Times New Roman" w:cs="Times New Roman"/>
          <w:b/>
          <w:bCs/>
          <w:sz w:val="24"/>
          <w:szCs w:val="24"/>
        </w:rPr>
        <w:t>alibrating PROs?</w:t>
      </w:r>
    </w:p>
    <w:p w14:paraId="59EFC7E8" w14:textId="77777777" w:rsidR="00D23849" w:rsidRDefault="00D23849" w:rsidP="00D56AFB">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Biomedical researchers often develop PRO scales for a specific disease population. A dilemma that they encounter is the extent to which they would make the scale relevant to the general population, even though the items have been designed and constructed to target patients that have the disease or are affected by the disease and related treatments. Consider a clinical researcher who is developing the following two PRO measures for an adolescent and young adult (AYA) cancer population - </w:t>
      </w:r>
      <w:r w:rsidRPr="00551CFA">
        <w:rPr>
          <w:rFonts w:ascii="Times New Roman" w:eastAsia="Times New Roman" w:hAnsi="Times New Roman" w:cs="Times New Roman"/>
          <w:sz w:val="24"/>
          <w:szCs w:val="24"/>
        </w:rPr>
        <w:t>bodily image and financial burden</w:t>
      </w:r>
      <w:r>
        <w:rPr>
          <w:rFonts w:ascii="Times New Roman" w:eastAsia="Times New Roman" w:hAnsi="Times New Roman" w:cs="Times New Roman"/>
          <w:sz w:val="24"/>
          <w:szCs w:val="24"/>
        </w:rPr>
        <w:t>. Apparently, these two constructs are important for the AYA population that is affected by the disease and the treatment because of the induced bodily change due to chemo- and radiation-therapy and the high financial burden due to treatment of cancer. A key decision point for the investigators is whether to include a “healthy” sample (hereafter refer to as the general sample) when scaling the item bank. There are advantages and disadvantages to include the general population into the calibration and norming procedures. The most important advantage of inclusion of the general population is comparability of an individual’s score against the general population, and the interpretation of scores in terms of its deviation from a referenced population, which could be the general population or sometimes, a subpopulation. On the other hand, i</w:t>
      </w:r>
      <w:r w:rsidRPr="004116E0">
        <w:rPr>
          <w:rFonts w:ascii="Times New Roman" w:eastAsia="Times New Roman" w:hAnsi="Times New Roman" w:cs="Times New Roman"/>
          <w:sz w:val="24"/>
          <w:szCs w:val="24"/>
        </w:rPr>
        <w:t xml:space="preserve">ncluding the general population may create flooring effects, lack of interpretability of some items, </w:t>
      </w:r>
      <w:r>
        <w:rPr>
          <w:rFonts w:ascii="Times New Roman" w:eastAsia="Times New Roman" w:hAnsi="Times New Roman" w:cs="Times New Roman"/>
          <w:sz w:val="24"/>
          <w:szCs w:val="24"/>
        </w:rPr>
        <w:t xml:space="preserve">potential differential item functioning (DIF) across the general and the diseased population, </w:t>
      </w:r>
      <w:r w:rsidRPr="004116E0">
        <w:rPr>
          <w:rFonts w:ascii="Times New Roman" w:eastAsia="Times New Roman" w:hAnsi="Times New Roman" w:cs="Times New Roman"/>
          <w:sz w:val="24"/>
          <w:szCs w:val="24"/>
        </w:rPr>
        <w:t xml:space="preserve">and the </w:t>
      </w:r>
      <w:proofErr w:type="gramStart"/>
      <w:r w:rsidRPr="004116E0">
        <w:rPr>
          <w:rFonts w:ascii="Times New Roman" w:eastAsia="Times New Roman" w:hAnsi="Times New Roman" w:cs="Times New Roman"/>
          <w:sz w:val="24"/>
          <w:szCs w:val="24"/>
        </w:rPr>
        <w:t>aforementioned concerns</w:t>
      </w:r>
      <w:proofErr w:type="gramEnd"/>
      <w:r w:rsidRPr="004116E0">
        <w:rPr>
          <w:rFonts w:ascii="Times New Roman" w:eastAsia="Times New Roman" w:hAnsi="Times New Roman" w:cs="Times New Roman"/>
          <w:sz w:val="24"/>
          <w:szCs w:val="24"/>
        </w:rPr>
        <w:t xml:space="preserve"> that unipolarity brings.</w:t>
      </w:r>
      <w:r>
        <w:rPr>
          <w:rFonts w:ascii="Times New Roman" w:eastAsia="Times New Roman" w:hAnsi="Times New Roman" w:cs="Times New Roman"/>
          <w:sz w:val="24"/>
          <w:szCs w:val="24"/>
        </w:rPr>
        <w:t xml:space="preserve"> In terms of the psychometric properties, including a general population is likely to result in high values of the discrimination parameter and very little separation between graded response threshold or location parameters at one end of the scale (Reise &amp; Waller, 2009). Additionally, specific disease-condition PROs that are scaled using only a patient population</w:t>
      </w:r>
      <w:r w:rsidRPr="004B0B9F">
        <w:rPr>
          <w:rFonts w:ascii="Times New Roman" w:eastAsia="Times New Roman" w:hAnsi="Times New Roman" w:cs="Times New Roman"/>
          <w:sz w:val="24"/>
          <w:szCs w:val="24"/>
        </w:rPr>
        <w:t xml:space="preserve"> are argued to have greater face validity, credibility and responsiveness to changes in the patient's condition</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Churruca</w:t>
      </w:r>
      <w:proofErr w:type="spellEnd"/>
      <w:r>
        <w:rPr>
          <w:rFonts w:ascii="Times New Roman" w:eastAsia="Times New Roman" w:hAnsi="Times New Roman" w:cs="Times New Roman"/>
          <w:sz w:val="24"/>
          <w:szCs w:val="24"/>
        </w:rPr>
        <w:t xml:space="preserve"> et al., 2021). To summarize this discussion, perhaps PRO constructs need to be determined on a case-by-case basis about whether to include the general population for scaling. Continuing to use the above example constructs of body image and financial burden in AYA cancer patients to exemplify this principle, body image perhaps is better aligned with the scaling approach that includes the general population, whereas financial burden (due to cancer management and treatment), may be more appropriate to only include patients with cancer. </w:t>
      </w:r>
    </w:p>
    <w:p w14:paraId="5ED4F8EE" w14:textId="77777777" w:rsidR="00D23849" w:rsidRDefault="00D23849" w:rsidP="00D56AFB">
      <w:pPr>
        <w:spacing w:after="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The PROMIS item banks (Reeve et al., 2007), which cover a broad range of PROs, would offer a glimpse into how investigators handle the above dilemma in practice. Consider</w:t>
      </w:r>
      <w:r w:rsidRPr="00DB2E3F">
        <w:rPr>
          <w:rFonts w:ascii="Times New Roman" w:eastAsia="Times New Roman" w:hAnsi="Times New Roman" w:cs="Times New Roman"/>
          <w:sz w:val="24"/>
          <w:szCs w:val="24"/>
        </w:rPr>
        <w:t xml:space="preserve"> the PROMIS </w:t>
      </w:r>
      <w:r>
        <w:rPr>
          <w:rFonts w:ascii="Times New Roman" w:eastAsia="Times New Roman" w:hAnsi="Times New Roman" w:cs="Times New Roman"/>
          <w:sz w:val="24"/>
          <w:szCs w:val="24"/>
        </w:rPr>
        <w:t xml:space="preserve">56-item </w:t>
      </w:r>
      <w:r w:rsidRPr="00DB2E3F">
        <w:rPr>
          <w:rFonts w:ascii="Times New Roman" w:eastAsia="Times New Roman" w:hAnsi="Times New Roman" w:cs="Times New Roman"/>
          <w:sz w:val="24"/>
          <w:szCs w:val="24"/>
        </w:rPr>
        <w:t>depression item bank (</w:t>
      </w:r>
      <w:r>
        <w:rPr>
          <w:rFonts w:ascii="Times New Roman" w:eastAsia="Times New Roman" w:hAnsi="Times New Roman" w:cs="Times New Roman"/>
          <w:sz w:val="24"/>
          <w:szCs w:val="24"/>
        </w:rPr>
        <w:t xml:space="preserve">final “official” item bank only contains 28 items; see </w:t>
      </w:r>
      <w:r w:rsidRPr="00DB2E3F">
        <w:rPr>
          <w:rFonts w:ascii="Times New Roman" w:eastAsia="Times New Roman" w:hAnsi="Times New Roman" w:cs="Times New Roman"/>
          <w:sz w:val="24"/>
          <w:szCs w:val="24"/>
        </w:rPr>
        <w:t>Nolte et al. 2019</w:t>
      </w:r>
      <w:r>
        <w:rPr>
          <w:rFonts w:ascii="Times New Roman" w:eastAsia="Times New Roman" w:hAnsi="Times New Roman" w:cs="Times New Roman"/>
          <w:sz w:val="24"/>
          <w:szCs w:val="24"/>
        </w:rPr>
        <w:t xml:space="preserve">). </w:t>
      </w:r>
      <w:r w:rsidRPr="0017409A">
        <w:rPr>
          <w:rFonts w:ascii="Times New Roman" w:eastAsia="Times New Roman" w:hAnsi="Times New Roman" w:cs="Times New Roman"/>
          <w:sz w:val="24"/>
          <w:szCs w:val="24"/>
        </w:rPr>
        <w:t>The PROMIS Calibration Studies sample included 21,133 respondents, with n = 1</w:t>
      </w:r>
      <w:r>
        <w:rPr>
          <w:rFonts w:ascii="Times New Roman" w:eastAsia="Times New Roman" w:hAnsi="Times New Roman" w:cs="Times New Roman"/>
          <w:sz w:val="24"/>
          <w:szCs w:val="24"/>
        </w:rPr>
        <w:t>,</w:t>
      </w:r>
      <w:r w:rsidRPr="0017409A">
        <w:rPr>
          <w:rFonts w:ascii="Times New Roman" w:eastAsia="Times New Roman" w:hAnsi="Times New Roman" w:cs="Times New Roman"/>
          <w:sz w:val="24"/>
          <w:szCs w:val="24"/>
        </w:rPr>
        <w:t>532 recruited from primary</w:t>
      </w:r>
      <w:r>
        <w:rPr>
          <w:rFonts w:ascii="Times New Roman" w:eastAsia="Times New Roman" w:hAnsi="Times New Roman" w:cs="Times New Roman"/>
          <w:sz w:val="24"/>
          <w:szCs w:val="24"/>
        </w:rPr>
        <w:t xml:space="preserve"> </w:t>
      </w:r>
      <w:r w:rsidRPr="0017409A">
        <w:rPr>
          <w:rFonts w:ascii="Times New Roman" w:eastAsia="Times New Roman" w:hAnsi="Times New Roman" w:cs="Times New Roman"/>
          <w:sz w:val="24"/>
          <w:szCs w:val="24"/>
        </w:rPr>
        <w:t>research sites associated with PROMIS network sites,</w:t>
      </w:r>
      <w:r>
        <w:rPr>
          <w:rFonts w:ascii="Times New Roman" w:eastAsia="Times New Roman" w:hAnsi="Times New Roman" w:cs="Times New Roman"/>
          <w:sz w:val="24"/>
          <w:szCs w:val="24"/>
        </w:rPr>
        <w:t xml:space="preserve"> </w:t>
      </w:r>
      <w:r w:rsidRPr="0017409A">
        <w:rPr>
          <w:rFonts w:ascii="Times New Roman" w:eastAsia="Times New Roman" w:hAnsi="Times New Roman" w:cs="Times New Roman"/>
          <w:sz w:val="24"/>
          <w:szCs w:val="24"/>
        </w:rPr>
        <w:t>while the vast majority (n = 19,601) was recruited from</w:t>
      </w:r>
      <w:r>
        <w:rPr>
          <w:rFonts w:ascii="Times New Roman" w:eastAsia="Times New Roman" w:hAnsi="Times New Roman" w:cs="Times New Roman"/>
          <w:sz w:val="24"/>
          <w:szCs w:val="24"/>
        </w:rPr>
        <w:t xml:space="preserve"> </w:t>
      </w:r>
      <w:r w:rsidRPr="0017409A">
        <w:rPr>
          <w:rFonts w:ascii="Times New Roman" w:eastAsia="Times New Roman" w:hAnsi="Times New Roman" w:cs="Times New Roman"/>
          <w:sz w:val="24"/>
          <w:szCs w:val="24"/>
        </w:rPr>
        <w:t>an Internet polling company</w:t>
      </w:r>
      <w:r>
        <w:rPr>
          <w:rFonts w:ascii="Times New Roman" w:eastAsia="Times New Roman" w:hAnsi="Times New Roman" w:cs="Times New Roman"/>
          <w:sz w:val="24"/>
          <w:szCs w:val="24"/>
        </w:rPr>
        <w:t xml:space="preserve">. The research sites included a diverse range of patient populations, with a focus on individual with chronic conditions and specific conditions such as cancer. </w:t>
      </w:r>
      <w:proofErr w:type="gramStart"/>
      <w:r>
        <w:rPr>
          <w:rFonts w:ascii="Times New Roman" w:eastAsia="Times New Roman" w:hAnsi="Times New Roman" w:cs="Times New Roman"/>
          <w:sz w:val="24"/>
          <w:szCs w:val="24"/>
        </w:rPr>
        <w:t>Thus</w:t>
      </w:r>
      <w:proofErr w:type="gramEnd"/>
      <w:r>
        <w:rPr>
          <w:rFonts w:ascii="Times New Roman" w:eastAsia="Times New Roman" w:hAnsi="Times New Roman" w:cs="Times New Roman"/>
          <w:sz w:val="24"/>
          <w:szCs w:val="24"/>
        </w:rPr>
        <w:t xml:space="preserve"> the calibration was conducted using a “hybrid” sample or mixture of both the general and cancer patients. Note that in the PROMIS language, the calibration sample is separate from the “centering” sample, which refers to the norm centered </w:t>
      </w:r>
      <w:r w:rsidRPr="001C492F">
        <w:rPr>
          <w:rFonts w:ascii="Times New Roman" w:eastAsia="Times New Roman" w:hAnsi="Times New Roman" w:cs="Times New Roman"/>
          <w:sz w:val="24"/>
          <w:szCs w:val="24"/>
        </w:rPr>
        <w:t>on the US Census populatio</w:t>
      </w:r>
      <w:r>
        <w:rPr>
          <w:rFonts w:ascii="Times New Roman" w:eastAsia="Times New Roman" w:hAnsi="Times New Roman" w:cs="Times New Roman"/>
          <w:sz w:val="24"/>
          <w:szCs w:val="24"/>
        </w:rPr>
        <w:t xml:space="preserve">n. Other PROMIS measures used either the general population or a clinical sample for calibration. The choice reflects the very specific nature of each targeted construct. PROMIS documents the calibration sample (e.g., general population, clinical sample, or hybrid) and the centering sample for </w:t>
      </w:r>
      <w:proofErr w:type="gramStart"/>
      <w:r>
        <w:rPr>
          <w:rFonts w:ascii="Times New Roman" w:eastAsia="Times New Roman" w:hAnsi="Times New Roman" w:cs="Times New Roman"/>
          <w:sz w:val="24"/>
          <w:szCs w:val="24"/>
        </w:rPr>
        <w:t>the vast majority of</w:t>
      </w:r>
      <w:proofErr w:type="gramEnd"/>
      <w:r>
        <w:rPr>
          <w:rFonts w:ascii="Times New Roman" w:eastAsia="Times New Roman" w:hAnsi="Times New Roman" w:cs="Times New Roman"/>
          <w:sz w:val="24"/>
          <w:szCs w:val="24"/>
        </w:rPr>
        <w:t xml:space="preserve"> the measures developed under its auspices (PROMIS reference population, 2024). </w:t>
      </w:r>
    </w:p>
    <w:p w14:paraId="2B5EA0A6" w14:textId="77777777" w:rsidR="00D23849" w:rsidRDefault="00D23849" w:rsidP="00D56AFB">
      <w:pPr>
        <w:spacing w:after="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choice to use a general population, a clinical sample, or a hybrid sample reflects the extent to which a construct is viewed as unipolar from the investigators’ perspective. When only a clinical sample is used for calibration and for centering, it reflects the perspective the corresponding PROMIS score is not relevant to the general population such that there is no need to reference an individual’s score with those that are deemed normal or healthy. Note that most of the PROMIS measures indeed used the general population for both calibration and centering. Thus, perhaps </w:t>
      </w:r>
      <w:proofErr w:type="gramStart"/>
      <w:r>
        <w:rPr>
          <w:rFonts w:ascii="Times New Roman" w:eastAsia="Times New Roman" w:hAnsi="Times New Roman" w:cs="Times New Roman"/>
          <w:sz w:val="24"/>
          <w:szCs w:val="24"/>
        </w:rPr>
        <w:t>with the exception of</w:t>
      </w:r>
      <w:proofErr w:type="gramEnd"/>
      <w:r>
        <w:rPr>
          <w:rFonts w:ascii="Times New Roman" w:eastAsia="Times New Roman" w:hAnsi="Times New Roman" w:cs="Times New Roman"/>
          <w:sz w:val="24"/>
          <w:szCs w:val="24"/>
        </w:rPr>
        <w:t xml:space="preserve"> a small number of obvious cases (an example is </w:t>
      </w:r>
      <w:r w:rsidRPr="002429DF">
        <w:rPr>
          <w:rFonts w:ascii="Times New Roman" w:eastAsia="Times New Roman" w:hAnsi="Times New Roman" w:cs="Times New Roman"/>
          <w:sz w:val="24"/>
          <w:szCs w:val="24"/>
        </w:rPr>
        <w:t>the measure of self-efficacy in managing med and treatment</w:t>
      </w:r>
      <w:r>
        <w:rPr>
          <w:rFonts w:ascii="Times New Roman" w:eastAsia="Times New Roman" w:hAnsi="Times New Roman" w:cs="Times New Roman"/>
          <w:sz w:val="24"/>
          <w:szCs w:val="24"/>
        </w:rPr>
        <w:t>; see</w:t>
      </w:r>
      <w:r w:rsidRPr="00721094">
        <w:t xml:space="preserve"> </w:t>
      </w:r>
      <w:r w:rsidRPr="00721094">
        <w:rPr>
          <w:rFonts w:ascii="Times New Roman" w:eastAsia="Times New Roman" w:hAnsi="Times New Roman" w:cs="Times New Roman"/>
          <w:sz w:val="24"/>
          <w:szCs w:val="24"/>
        </w:rPr>
        <w:t>PROMIS reference populations</w:t>
      </w:r>
      <w:r>
        <w:rPr>
          <w:rFonts w:ascii="Times New Roman" w:eastAsia="Times New Roman" w:hAnsi="Times New Roman" w:cs="Times New Roman"/>
          <w:sz w:val="24"/>
          <w:szCs w:val="24"/>
        </w:rPr>
        <w:t xml:space="preserve">, 2024), the issue of unipolarity lingers. </w:t>
      </w:r>
    </w:p>
    <w:p w14:paraId="20683CAD" w14:textId="77777777" w:rsidR="00043D05" w:rsidRPr="00066702" w:rsidRDefault="00043D05" w:rsidP="00D56AFB">
      <w:pPr>
        <w:spacing w:after="0" w:line="480" w:lineRule="auto"/>
        <w:rPr>
          <w:rFonts w:ascii="Times New Roman" w:eastAsia="Times New Roman" w:hAnsi="Times New Roman" w:cs="Times New Roman"/>
          <w:b/>
          <w:bCs/>
          <w:sz w:val="24"/>
          <w:szCs w:val="24"/>
        </w:rPr>
      </w:pPr>
      <w:r w:rsidRPr="00066702">
        <w:rPr>
          <w:rFonts w:ascii="Times New Roman" w:eastAsia="Times New Roman" w:hAnsi="Times New Roman" w:cs="Times New Roman"/>
          <w:b/>
          <w:bCs/>
          <w:sz w:val="24"/>
          <w:szCs w:val="24"/>
        </w:rPr>
        <w:t xml:space="preserve">Item-level </w:t>
      </w:r>
      <w:r>
        <w:rPr>
          <w:rFonts w:ascii="Times New Roman" w:eastAsia="Times New Roman" w:hAnsi="Times New Roman" w:cs="Times New Roman"/>
          <w:b/>
          <w:bCs/>
          <w:sz w:val="24"/>
          <w:szCs w:val="24"/>
        </w:rPr>
        <w:t>U</w:t>
      </w:r>
      <w:r w:rsidRPr="00066702">
        <w:rPr>
          <w:rFonts w:ascii="Times New Roman" w:eastAsia="Times New Roman" w:hAnsi="Times New Roman" w:cs="Times New Roman"/>
          <w:b/>
          <w:bCs/>
          <w:sz w:val="24"/>
          <w:szCs w:val="24"/>
        </w:rPr>
        <w:t xml:space="preserve">nipolarity </w:t>
      </w:r>
      <w:r>
        <w:rPr>
          <w:rFonts w:ascii="Times New Roman" w:eastAsia="Times New Roman" w:hAnsi="Times New Roman" w:cs="Times New Roman"/>
          <w:b/>
          <w:bCs/>
          <w:sz w:val="24"/>
          <w:szCs w:val="24"/>
        </w:rPr>
        <w:t>C</w:t>
      </w:r>
      <w:r w:rsidRPr="00066702">
        <w:rPr>
          <w:rFonts w:ascii="Times New Roman" w:eastAsia="Times New Roman" w:hAnsi="Times New Roman" w:cs="Times New Roman"/>
          <w:b/>
          <w:bCs/>
          <w:sz w:val="24"/>
          <w:szCs w:val="24"/>
        </w:rPr>
        <w:t>onsiderations</w:t>
      </w:r>
    </w:p>
    <w:p w14:paraId="59EC7CCE" w14:textId="77777777" w:rsidR="00043D05" w:rsidRDefault="00043D05" w:rsidP="00D56AFB">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It can be argued that the manifestation of unipolarity occurs at the item level – i.e., some items in the item bank are only relevant to a specific population and irrelevant to a general population. In the PROMIS smoking measure (Edelen et al., 2012), the item “</w:t>
      </w:r>
      <w:r w:rsidRPr="00D7281F">
        <w:rPr>
          <w:rFonts w:ascii="Times New Roman" w:eastAsia="Times New Roman" w:hAnsi="Times New Roman" w:cs="Times New Roman"/>
          <w:sz w:val="24"/>
          <w:szCs w:val="24"/>
        </w:rPr>
        <w:t>People think less of me if they see me</w:t>
      </w:r>
      <w:r>
        <w:rPr>
          <w:rFonts w:ascii="Times New Roman" w:eastAsia="Times New Roman" w:hAnsi="Times New Roman" w:cs="Times New Roman"/>
          <w:sz w:val="24"/>
          <w:szCs w:val="24"/>
        </w:rPr>
        <w:t xml:space="preserve"> smoking” may be relevant to a general population, but the item </w:t>
      </w:r>
      <w:r w:rsidRPr="00725E69">
        <w:rPr>
          <w:rFonts w:ascii="Times New Roman" w:eastAsia="Times New Roman" w:hAnsi="Times New Roman" w:cs="Times New Roman"/>
          <w:sz w:val="24"/>
          <w:szCs w:val="24"/>
        </w:rPr>
        <w:t>“</w:t>
      </w:r>
      <w:r w:rsidRPr="001249D4">
        <w:rPr>
          <w:rFonts w:ascii="Times New Roman" w:eastAsia="Times New Roman" w:hAnsi="Times New Roman" w:cs="Times New Roman"/>
          <w:sz w:val="24"/>
          <w:szCs w:val="24"/>
        </w:rPr>
        <w:t>Smoking allows me to take a break from</w:t>
      </w:r>
      <w:r>
        <w:rPr>
          <w:rFonts w:ascii="Times New Roman" w:eastAsia="Times New Roman" w:hAnsi="Times New Roman" w:cs="Times New Roman"/>
          <w:sz w:val="24"/>
          <w:szCs w:val="24"/>
        </w:rPr>
        <w:t xml:space="preserve"> </w:t>
      </w:r>
      <w:r w:rsidRPr="001249D4">
        <w:rPr>
          <w:rFonts w:ascii="Times New Roman" w:eastAsia="Times New Roman" w:hAnsi="Times New Roman" w:cs="Times New Roman"/>
          <w:sz w:val="24"/>
          <w:szCs w:val="24"/>
        </w:rPr>
        <w:t>my problems for a few minutes</w:t>
      </w:r>
      <w:r>
        <w:rPr>
          <w:rFonts w:ascii="Times New Roman" w:eastAsia="Times New Roman" w:hAnsi="Times New Roman" w:cs="Times New Roman"/>
          <w:sz w:val="24"/>
          <w:szCs w:val="24"/>
        </w:rPr>
        <w:t>” would not be relevant to someone who is not currently smoking. Many PRO measures use Likert scale for which the categories indicate descending or ascending level of agreement, severity, or frequency. The lowest category (e.g., “Never” for a specific symptom) may suggest a qualitatively different response that cannot be ordered together with the other responses (e.g., Sometimes, Often, and Always). One may thus argue that we need to consider how to handle specific items when it is clear from a face-validity angle that some items are, and some are not relevant to the specific population. In other words, some items may be “more scalable” than others. Indeed, one could include “Not Applicable (NA)” as a response option. Accordingly, the response categories would form a partially ordered set (</w:t>
      </w:r>
      <w:proofErr w:type="spellStart"/>
      <w:r>
        <w:rPr>
          <w:rFonts w:ascii="Times New Roman" w:eastAsia="Times New Roman" w:hAnsi="Times New Roman" w:cs="Times New Roman"/>
          <w:sz w:val="24"/>
          <w:szCs w:val="24"/>
        </w:rPr>
        <w:t>poset</w:t>
      </w:r>
      <w:proofErr w:type="spellEnd"/>
      <w:r>
        <w:rPr>
          <w:rFonts w:ascii="Times New Roman" w:eastAsia="Times New Roman" w:hAnsi="Times New Roman" w:cs="Times New Roman"/>
          <w:sz w:val="24"/>
          <w:szCs w:val="24"/>
        </w:rPr>
        <w:t xml:space="preserve">) that can be represented in Figure 1a. </w:t>
      </w:r>
    </w:p>
    <w:p w14:paraId="4E7F3834" w14:textId="77777777" w:rsidR="00704703" w:rsidRDefault="00704703" w:rsidP="00D56AFB">
      <w:pPr>
        <w:spacing w:after="0" w:line="480" w:lineRule="auto"/>
        <w:rPr>
          <w:rFonts w:ascii="Times New Roman" w:eastAsia="Times New Roman" w:hAnsi="Times New Roman" w:cs="Times New Roman"/>
          <w:sz w:val="24"/>
          <w:szCs w:val="24"/>
        </w:rPr>
      </w:pPr>
    </w:p>
    <w:p w14:paraId="4A821A13" w14:textId="61B44D3A" w:rsidR="003D2840" w:rsidRDefault="009B6814" w:rsidP="00D56AFB">
      <w:pPr>
        <w:spacing w:after="0" w:line="480" w:lineRule="auto"/>
        <w:rPr>
          <w:rFonts w:ascii="Times New Roman" w:eastAsia="Times New Roman" w:hAnsi="Times New Roman" w:cs="Times New Roman"/>
          <w:sz w:val="24"/>
          <w:szCs w:val="24"/>
        </w:rPr>
      </w:pPr>
      <w:r w:rsidRPr="009B6814">
        <w:rPr>
          <w:rFonts w:ascii="Times New Roman" w:eastAsia="Times New Roman" w:hAnsi="Times New Roman" w:cs="Times New Roman"/>
          <w:noProof/>
          <w:sz w:val="24"/>
          <w:szCs w:val="24"/>
        </w:rPr>
        <w:drawing>
          <wp:anchor distT="0" distB="0" distL="114300" distR="114300" simplePos="0" relativeHeight="251658240" behindDoc="0" locked="0" layoutInCell="1" allowOverlap="1" wp14:anchorId="31E03595" wp14:editId="08D521B7">
            <wp:simplePos x="0" y="0"/>
            <wp:positionH relativeFrom="column">
              <wp:posOffset>0</wp:posOffset>
            </wp:positionH>
            <wp:positionV relativeFrom="paragraph">
              <wp:posOffset>0</wp:posOffset>
            </wp:positionV>
            <wp:extent cx="3192780" cy="2079314"/>
            <wp:effectExtent l="0" t="0" r="7620" b="0"/>
            <wp:wrapSquare wrapText="bothSides"/>
            <wp:docPr id="327396743" name="Picture 1" descr="A group of ovals with word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396743" name="Picture 1" descr="A group of ovals with words&#10;&#10;AI-generated content may be incorrect."/>
                    <pic:cNvPicPr/>
                  </pic:nvPicPr>
                  <pic:blipFill>
                    <a:blip r:embed="rId6">
                      <a:extLst>
                        <a:ext uri="{28A0092B-C50C-407E-A947-70E740481C1C}">
                          <a14:useLocalDpi xmlns:a14="http://schemas.microsoft.com/office/drawing/2010/main" val="0"/>
                        </a:ext>
                      </a:extLst>
                    </a:blip>
                    <a:stretch>
                      <a:fillRect/>
                    </a:stretch>
                  </pic:blipFill>
                  <pic:spPr>
                    <a:xfrm>
                      <a:off x="0" y="0"/>
                      <a:ext cx="3192780" cy="2079314"/>
                    </a:xfrm>
                    <a:prstGeom prst="rect">
                      <a:avLst/>
                    </a:prstGeom>
                  </pic:spPr>
                </pic:pic>
              </a:graphicData>
            </a:graphic>
            <wp14:sizeRelH relativeFrom="page">
              <wp14:pctWidth>0</wp14:pctWidth>
            </wp14:sizeRelH>
            <wp14:sizeRelV relativeFrom="page">
              <wp14:pctHeight>0</wp14:pctHeight>
            </wp14:sizeRelV>
          </wp:anchor>
        </w:drawing>
      </w:r>
      <w:r w:rsidR="00364946" w:rsidRPr="00364946">
        <w:rPr>
          <w:noProof/>
        </w:rPr>
        <w:t xml:space="preserve"> </w:t>
      </w:r>
      <w:r w:rsidR="00364946" w:rsidRPr="00364946">
        <w:rPr>
          <w:rFonts w:ascii="Times New Roman" w:eastAsia="Times New Roman" w:hAnsi="Times New Roman" w:cs="Times New Roman"/>
          <w:noProof/>
          <w:sz w:val="24"/>
          <w:szCs w:val="24"/>
        </w:rPr>
        <w:drawing>
          <wp:inline distT="0" distB="0" distL="0" distR="0" wp14:anchorId="339B42E6" wp14:editId="4B7800F0">
            <wp:extent cx="2186940" cy="1814085"/>
            <wp:effectExtent l="0" t="0" r="3810" b="0"/>
            <wp:docPr id="339021018" name="Picture 1" descr="A diagram of a numb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9021018" name="Picture 1" descr="A diagram of a number&#10;&#10;AI-generated content may be incorrect."/>
                    <pic:cNvPicPr/>
                  </pic:nvPicPr>
                  <pic:blipFill>
                    <a:blip r:embed="rId7"/>
                    <a:stretch>
                      <a:fillRect/>
                    </a:stretch>
                  </pic:blipFill>
                  <pic:spPr>
                    <a:xfrm>
                      <a:off x="0" y="0"/>
                      <a:ext cx="2193332" cy="1819388"/>
                    </a:xfrm>
                    <a:prstGeom prst="rect">
                      <a:avLst/>
                    </a:prstGeom>
                  </pic:spPr>
                </pic:pic>
              </a:graphicData>
            </a:graphic>
          </wp:inline>
        </w:drawing>
      </w:r>
    </w:p>
    <w:p w14:paraId="56F59EF3" w14:textId="77777777" w:rsidR="007B4DA6" w:rsidRDefault="007B4DA6" w:rsidP="00D56AFB">
      <w:pPr>
        <w:spacing w:after="0" w:line="480" w:lineRule="auto"/>
        <w:rPr>
          <w:rFonts w:ascii="Times New Roman" w:eastAsia="Times New Roman" w:hAnsi="Times New Roman" w:cs="Times New Roman"/>
          <w:sz w:val="24"/>
          <w:szCs w:val="24"/>
        </w:rPr>
      </w:pPr>
    </w:p>
    <w:p w14:paraId="4A3D9631" w14:textId="58DE0A09" w:rsidR="007B4DA6" w:rsidRPr="007B4DA6" w:rsidRDefault="007B4DA6" w:rsidP="00D56AFB">
      <w:pPr>
        <w:pStyle w:val="ListParagraph"/>
        <w:numPr>
          <w:ilvl w:val="0"/>
          <w:numId w:val="13"/>
        </w:num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(b)</w:t>
      </w:r>
    </w:p>
    <w:p w14:paraId="459B94ED" w14:textId="0F3C929A" w:rsidR="00630E46" w:rsidRPr="000F45F1" w:rsidRDefault="009B6814" w:rsidP="00D56AFB">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Figure 1</w:t>
      </w:r>
      <w:r w:rsidR="007B4DA6">
        <w:rPr>
          <w:rFonts w:ascii="Times New Roman" w:eastAsia="Times New Roman" w:hAnsi="Times New Roman" w:cs="Times New Roman"/>
          <w:sz w:val="24"/>
          <w:szCs w:val="24"/>
        </w:rPr>
        <w:t>(</w:t>
      </w:r>
      <w:r w:rsidR="00586A90">
        <w:rPr>
          <w:rFonts w:ascii="Times New Roman" w:eastAsia="Times New Roman" w:hAnsi="Times New Roman" w:cs="Times New Roman"/>
          <w:sz w:val="24"/>
          <w:szCs w:val="24"/>
        </w:rPr>
        <w:t>a</w:t>
      </w:r>
      <w:r w:rsidR="007B4DA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FB59BD">
        <w:rPr>
          <w:rFonts w:ascii="Times New Roman" w:eastAsia="Times New Roman" w:hAnsi="Times New Roman" w:cs="Times New Roman"/>
          <w:sz w:val="24"/>
          <w:szCs w:val="24"/>
        </w:rPr>
        <w:t xml:space="preserve">Partially ordered </w:t>
      </w:r>
      <w:r w:rsidR="00CF69BA">
        <w:rPr>
          <w:rFonts w:ascii="Times New Roman" w:eastAsia="Times New Roman" w:hAnsi="Times New Roman" w:cs="Times New Roman"/>
          <w:sz w:val="24"/>
          <w:szCs w:val="24"/>
        </w:rPr>
        <w:t>set (</w:t>
      </w:r>
      <w:proofErr w:type="spellStart"/>
      <w:r w:rsidR="00CF69BA">
        <w:rPr>
          <w:rFonts w:ascii="Times New Roman" w:eastAsia="Times New Roman" w:hAnsi="Times New Roman" w:cs="Times New Roman"/>
          <w:sz w:val="24"/>
          <w:szCs w:val="24"/>
        </w:rPr>
        <w:t>poset</w:t>
      </w:r>
      <w:proofErr w:type="spellEnd"/>
      <w:r w:rsidR="00CF69BA">
        <w:rPr>
          <w:rFonts w:ascii="Times New Roman" w:eastAsia="Times New Roman" w:hAnsi="Times New Roman" w:cs="Times New Roman"/>
          <w:sz w:val="24"/>
          <w:szCs w:val="24"/>
        </w:rPr>
        <w:t xml:space="preserve">) </w:t>
      </w:r>
      <w:r w:rsidR="00FB59BD">
        <w:rPr>
          <w:rFonts w:ascii="Times New Roman" w:eastAsia="Times New Roman" w:hAnsi="Times New Roman" w:cs="Times New Roman"/>
          <w:sz w:val="24"/>
          <w:szCs w:val="24"/>
        </w:rPr>
        <w:t>structure of response categories for a hypothetical item that contains 5 categories</w:t>
      </w:r>
      <w:r w:rsidR="002035FA">
        <w:rPr>
          <w:rFonts w:ascii="Times New Roman" w:eastAsia="Times New Roman" w:hAnsi="Times New Roman" w:cs="Times New Roman"/>
          <w:sz w:val="24"/>
          <w:szCs w:val="24"/>
        </w:rPr>
        <w:t xml:space="preserve"> (Never, Sometimes, Often, Always, and Not Applicable</w:t>
      </w:r>
      <w:r w:rsidR="006D04E5">
        <w:rPr>
          <w:rFonts w:ascii="Times New Roman" w:eastAsia="Times New Roman" w:hAnsi="Times New Roman" w:cs="Times New Roman"/>
          <w:sz w:val="24"/>
          <w:szCs w:val="24"/>
        </w:rPr>
        <w:t xml:space="preserve"> [NA]). </w:t>
      </w:r>
      <w:r w:rsidR="00DA34D1">
        <w:rPr>
          <w:rFonts w:ascii="Times New Roman" w:eastAsia="Times New Roman" w:hAnsi="Times New Roman" w:cs="Times New Roman"/>
          <w:sz w:val="24"/>
          <w:szCs w:val="24"/>
        </w:rPr>
        <w:t xml:space="preserve">An arrow </w:t>
      </w:r>
      <w:r w:rsidR="00152E42">
        <w:rPr>
          <w:rFonts w:ascii="Times New Roman" w:eastAsia="Times New Roman" w:hAnsi="Times New Roman" w:cs="Times New Roman"/>
          <w:sz w:val="24"/>
          <w:szCs w:val="24"/>
        </w:rPr>
        <w:t>A</w:t>
      </w:r>
      <w:r w:rsidR="00152E42" w:rsidRPr="00152E42">
        <w:rPr>
          <w:rFonts w:ascii="Times New Roman" w:eastAsia="Times New Roman" w:hAnsi="Times New Roman" w:cs="Times New Roman"/>
          <w:sz w:val="24"/>
          <w:szCs w:val="24"/>
        </w:rPr>
        <w:sym w:font="Wingdings" w:char="F0E0"/>
      </w:r>
      <w:r w:rsidR="00152E42">
        <w:rPr>
          <w:rFonts w:ascii="Times New Roman" w:eastAsia="Times New Roman" w:hAnsi="Times New Roman" w:cs="Times New Roman"/>
          <w:sz w:val="24"/>
          <w:szCs w:val="24"/>
        </w:rPr>
        <w:t xml:space="preserve">B indicates category A dominates (is superior) to category B. </w:t>
      </w:r>
      <w:r w:rsidR="006D04E5">
        <w:rPr>
          <w:rFonts w:ascii="Times New Roman" w:eastAsia="Times New Roman" w:hAnsi="Times New Roman" w:cs="Times New Roman"/>
          <w:sz w:val="24"/>
          <w:szCs w:val="24"/>
        </w:rPr>
        <w:t xml:space="preserve">Here the categories Never and NA are treated as qualitatively different from the ordered </w:t>
      </w:r>
      <w:r w:rsidR="005016FC">
        <w:rPr>
          <w:rFonts w:ascii="Times New Roman" w:eastAsia="Times New Roman" w:hAnsi="Times New Roman" w:cs="Times New Roman"/>
          <w:sz w:val="24"/>
          <w:szCs w:val="24"/>
        </w:rPr>
        <w:t xml:space="preserve">categories Sometimes, Often, and Always. </w:t>
      </w:r>
      <w:r w:rsidR="00CF69BA">
        <w:rPr>
          <w:rFonts w:ascii="Times New Roman" w:eastAsia="Times New Roman" w:hAnsi="Times New Roman" w:cs="Times New Roman"/>
          <w:sz w:val="24"/>
          <w:szCs w:val="24"/>
        </w:rPr>
        <w:t xml:space="preserve">Under a general </w:t>
      </w:r>
      <w:proofErr w:type="spellStart"/>
      <w:r w:rsidR="00CF69BA">
        <w:rPr>
          <w:rFonts w:ascii="Times New Roman" w:eastAsia="Times New Roman" w:hAnsi="Times New Roman" w:cs="Times New Roman"/>
          <w:sz w:val="24"/>
          <w:szCs w:val="24"/>
        </w:rPr>
        <w:t>poset</w:t>
      </w:r>
      <w:proofErr w:type="spellEnd"/>
      <w:r w:rsidR="00CF69BA">
        <w:rPr>
          <w:rFonts w:ascii="Times New Roman" w:eastAsia="Times New Roman" w:hAnsi="Times New Roman" w:cs="Times New Roman"/>
          <w:sz w:val="24"/>
          <w:szCs w:val="24"/>
        </w:rPr>
        <w:t xml:space="preserve"> framework, i</w:t>
      </w:r>
      <w:r w:rsidR="005016FC">
        <w:rPr>
          <w:rFonts w:ascii="Times New Roman" w:eastAsia="Times New Roman" w:hAnsi="Times New Roman" w:cs="Times New Roman"/>
          <w:sz w:val="24"/>
          <w:szCs w:val="24"/>
        </w:rPr>
        <w:t xml:space="preserve">t is </w:t>
      </w:r>
      <w:r w:rsidR="00CF69BA">
        <w:rPr>
          <w:rFonts w:ascii="Times New Roman" w:eastAsia="Times New Roman" w:hAnsi="Times New Roman" w:cs="Times New Roman"/>
          <w:sz w:val="24"/>
          <w:szCs w:val="24"/>
        </w:rPr>
        <w:t xml:space="preserve">also </w:t>
      </w:r>
      <w:r w:rsidR="005016FC">
        <w:rPr>
          <w:rFonts w:ascii="Times New Roman" w:eastAsia="Times New Roman" w:hAnsi="Times New Roman" w:cs="Times New Roman"/>
          <w:sz w:val="24"/>
          <w:szCs w:val="24"/>
        </w:rPr>
        <w:t xml:space="preserve">possible that the Never and NA can be lumped together to form one category. </w:t>
      </w:r>
      <w:r w:rsidR="007B4DA6">
        <w:rPr>
          <w:rFonts w:ascii="Times New Roman" w:eastAsia="Times New Roman" w:hAnsi="Times New Roman" w:cs="Times New Roman"/>
          <w:sz w:val="24"/>
          <w:szCs w:val="24"/>
        </w:rPr>
        <w:t xml:space="preserve">(b) </w:t>
      </w:r>
      <w:proofErr w:type="spellStart"/>
      <w:r w:rsidR="007B4DA6">
        <w:rPr>
          <w:rFonts w:ascii="Times New Roman" w:eastAsia="Times New Roman" w:hAnsi="Times New Roman" w:cs="Times New Roman"/>
          <w:sz w:val="24"/>
          <w:szCs w:val="24"/>
        </w:rPr>
        <w:t>poset</w:t>
      </w:r>
      <w:proofErr w:type="spellEnd"/>
      <w:r w:rsidR="007B4DA6">
        <w:rPr>
          <w:rFonts w:ascii="Times New Roman" w:eastAsia="Times New Roman" w:hAnsi="Times New Roman" w:cs="Times New Roman"/>
          <w:sz w:val="24"/>
          <w:szCs w:val="24"/>
        </w:rPr>
        <w:t xml:space="preserve"> </w:t>
      </w:r>
      <w:r w:rsidR="001952B6">
        <w:rPr>
          <w:rFonts w:ascii="Times New Roman" w:eastAsia="Times New Roman" w:hAnsi="Times New Roman" w:cs="Times New Roman"/>
          <w:sz w:val="24"/>
          <w:szCs w:val="24"/>
        </w:rPr>
        <w:t xml:space="preserve">dominance structure for two binary items each with 0/1 response. </w:t>
      </w:r>
    </w:p>
    <w:p w14:paraId="44B9E5C2" w14:textId="77777777" w:rsidR="00BE1910" w:rsidRPr="00066702" w:rsidRDefault="00BE1910" w:rsidP="00D56AFB">
      <w:pPr>
        <w:spacing w:after="0" w:line="480" w:lineRule="auto"/>
        <w:jc w:val="center"/>
        <w:rPr>
          <w:rFonts w:ascii="Times New Roman" w:eastAsia="Times New Roman" w:hAnsi="Times New Roman" w:cs="Times New Roman"/>
          <w:b/>
          <w:bCs/>
          <w:sz w:val="24"/>
          <w:szCs w:val="24"/>
        </w:rPr>
      </w:pPr>
      <w:r w:rsidRPr="00066702">
        <w:rPr>
          <w:rFonts w:ascii="Times New Roman" w:eastAsia="Times New Roman" w:hAnsi="Times New Roman" w:cs="Times New Roman"/>
          <w:b/>
          <w:bCs/>
          <w:sz w:val="24"/>
          <w:szCs w:val="24"/>
        </w:rPr>
        <w:t>Method</w:t>
      </w:r>
    </w:p>
    <w:p w14:paraId="2AB02C27" w14:textId="77777777" w:rsidR="00BE1910" w:rsidRDefault="00BE1910" w:rsidP="00D56AFB">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Using real depression data, we illustrate how </w:t>
      </w:r>
      <w:proofErr w:type="spellStart"/>
      <w:r>
        <w:rPr>
          <w:rFonts w:ascii="Times New Roman" w:eastAsia="Times New Roman" w:hAnsi="Times New Roman" w:cs="Times New Roman"/>
          <w:sz w:val="24"/>
          <w:szCs w:val="24"/>
        </w:rPr>
        <w:t>poset</w:t>
      </w:r>
      <w:proofErr w:type="spellEnd"/>
      <w:r>
        <w:rPr>
          <w:rFonts w:ascii="Times New Roman" w:eastAsia="Times New Roman" w:hAnsi="Times New Roman" w:cs="Times New Roman"/>
          <w:sz w:val="24"/>
          <w:szCs w:val="24"/>
        </w:rPr>
        <w:t xml:space="preserve"> IRT can be used to calibrate items for a scale that is suspected to be unipolar. In this illustration, we focus on exploratory analysis that demonstrates feasibility and interpretation of the proposed method. Items within a measure are all treated the same way, and we did not identify items that may not be scalable. As the empirical data used here did not contain the NA option, for illustration we treated the lowest category (0) as being qualitatively distinct from the other categories. We also used latent class analysis to identify patients that can be classified as “non-depressed” for further exploring the behavior of the </w:t>
      </w:r>
      <w:proofErr w:type="spellStart"/>
      <w:r>
        <w:rPr>
          <w:rFonts w:ascii="Times New Roman" w:eastAsia="Times New Roman" w:hAnsi="Times New Roman" w:cs="Times New Roman"/>
          <w:sz w:val="24"/>
          <w:szCs w:val="24"/>
        </w:rPr>
        <w:t>poset</w:t>
      </w:r>
      <w:proofErr w:type="spellEnd"/>
      <w:r>
        <w:rPr>
          <w:rFonts w:ascii="Times New Roman" w:eastAsia="Times New Roman" w:hAnsi="Times New Roman" w:cs="Times New Roman"/>
          <w:sz w:val="24"/>
          <w:szCs w:val="24"/>
        </w:rPr>
        <w:t xml:space="preserve"> approach.</w:t>
      </w:r>
    </w:p>
    <w:p w14:paraId="439AA47E" w14:textId="77777777" w:rsidR="00BE1910" w:rsidRPr="00066702" w:rsidRDefault="00BE1910" w:rsidP="00D56AFB">
      <w:pPr>
        <w:spacing w:after="0" w:line="480" w:lineRule="auto"/>
        <w:rPr>
          <w:rFonts w:ascii="Times New Roman" w:eastAsia="Times New Roman" w:hAnsi="Times New Roman" w:cs="Times New Roman"/>
          <w:b/>
          <w:bCs/>
          <w:sz w:val="24"/>
          <w:szCs w:val="24"/>
        </w:rPr>
      </w:pPr>
      <w:r w:rsidRPr="00066702">
        <w:rPr>
          <w:rFonts w:ascii="Times New Roman" w:eastAsia="Times New Roman" w:hAnsi="Times New Roman" w:cs="Times New Roman"/>
          <w:b/>
          <w:bCs/>
          <w:sz w:val="24"/>
          <w:szCs w:val="24"/>
        </w:rPr>
        <w:t>Data</w:t>
      </w:r>
    </w:p>
    <w:p w14:paraId="1EA544D3" w14:textId="77777777" w:rsidR="00BE1910" w:rsidRDefault="00BE1910" w:rsidP="00D56AFB">
      <w:pPr>
        <w:spacing w:after="0" w:line="480" w:lineRule="auto"/>
        <w:rPr>
          <w:rFonts w:ascii="Times New Roman" w:eastAsia="Times New Roman" w:hAnsi="Times New Roman" w:cs="Times New Roman"/>
          <w:sz w:val="24"/>
          <w:szCs w:val="24"/>
        </w:rPr>
      </w:pPr>
      <w:r w:rsidRPr="00672D4A">
        <w:rPr>
          <w:rFonts w:ascii="Times New Roman" w:eastAsia="Times New Roman" w:hAnsi="Times New Roman" w:cs="Times New Roman"/>
          <w:sz w:val="24"/>
          <w:szCs w:val="24"/>
        </w:rPr>
        <w:t>Th</w:t>
      </w:r>
      <w:r>
        <w:rPr>
          <w:rFonts w:ascii="Times New Roman" w:eastAsia="Times New Roman" w:hAnsi="Times New Roman" w:cs="Times New Roman"/>
          <w:sz w:val="24"/>
          <w:szCs w:val="24"/>
        </w:rPr>
        <w:t>e data set was a subset of data collected from</w:t>
      </w:r>
      <w:r w:rsidRPr="00672D4A">
        <w:rPr>
          <w:rFonts w:ascii="Times New Roman" w:eastAsia="Times New Roman" w:hAnsi="Times New Roman" w:cs="Times New Roman"/>
          <w:sz w:val="24"/>
          <w:szCs w:val="24"/>
        </w:rPr>
        <w:t xml:space="preserve"> a longitudinal study of age-related differences in adjusting to breast cancer diagnosis. Details on study recruitment and eligibility are reported elsewhere </w:t>
      </w:r>
      <w:r>
        <w:rPr>
          <w:rFonts w:ascii="Times New Roman" w:eastAsia="Times New Roman" w:hAnsi="Times New Roman" w:cs="Times New Roman"/>
          <w:sz w:val="24"/>
          <w:szCs w:val="24"/>
        </w:rPr>
        <w:t>(Avis et al., 2013)</w:t>
      </w:r>
      <w:r w:rsidRPr="00672D4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Female patients</w:t>
      </w:r>
      <w:r w:rsidRPr="00672D4A">
        <w:rPr>
          <w:rFonts w:ascii="Times New Roman" w:eastAsia="Times New Roman" w:hAnsi="Times New Roman" w:cs="Times New Roman"/>
          <w:sz w:val="24"/>
          <w:szCs w:val="24"/>
        </w:rPr>
        <w:t xml:space="preserve"> were recruited within 8 months of breast cancer diagnosis from </w:t>
      </w:r>
      <w:r>
        <w:rPr>
          <w:rFonts w:ascii="Times New Roman" w:eastAsia="Times New Roman" w:hAnsi="Times New Roman" w:cs="Times New Roman"/>
          <w:sz w:val="24"/>
          <w:szCs w:val="24"/>
        </w:rPr>
        <w:t xml:space="preserve">two sites in New York City and Texas. </w:t>
      </w:r>
      <w:r w:rsidRPr="00672D4A">
        <w:rPr>
          <w:rFonts w:ascii="Times New Roman" w:eastAsia="Times New Roman" w:hAnsi="Times New Roman" w:cs="Times New Roman"/>
          <w:sz w:val="24"/>
          <w:szCs w:val="24"/>
        </w:rPr>
        <w:t xml:space="preserve">Eligibility criteria included a first-time diagnosis of stage I-III breast cancer, age &gt;18 years, and ability to read and write English. Data were collected at 5 time points: the initial baseline survey (administered within 8 months of breast cancer diagnosis), and </w:t>
      </w:r>
      <w:proofErr w:type="gramStart"/>
      <w:r w:rsidRPr="00672D4A">
        <w:rPr>
          <w:rFonts w:ascii="Times New Roman" w:eastAsia="Times New Roman" w:hAnsi="Times New Roman" w:cs="Times New Roman"/>
          <w:sz w:val="24"/>
          <w:szCs w:val="24"/>
        </w:rPr>
        <w:t>3, 6, 12, and 18 months</w:t>
      </w:r>
      <w:proofErr w:type="gramEnd"/>
      <w:r w:rsidRPr="00672D4A">
        <w:rPr>
          <w:rFonts w:ascii="Times New Roman" w:eastAsia="Times New Roman" w:hAnsi="Times New Roman" w:cs="Times New Roman"/>
          <w:sz w:val="24"/>
          <w:szCs w:val="24"/>
        </w:rPr>
        <w:t xml:space="preserve"> following completion of the baseline survey. The self-administered questionnaire included questions on </w:t>
      </w:r>
      <w:r>
        <w:rPr>
          <w:rFonts w:ascii="Times New Roman" w:eastAsia="Times New Roman" w:hAnsi="Times New Roman" w:cs="Times New Roman"/>
          <w:sz w:val="24"/>
          <w:szCs w:val="24"/>
        </w:rPr>
        <w:t xml:space="preserve">depression, </w:t>
      </w:r>
      <w:r w:rsidRPr="00672D4A">
        <w:rPr>
          <w:rFonts w:ascii="Times New Roman" w:eastAsia="Times New Roman" w:hAnsi="Times New Roman" w:cs="Times New Roman"/>
          <w:sz w:val="24"/>
          <w:szCs w:val="24"/>
        </w:rPr>
        <w:t xml:space="preserve">symptoms, </w:t>
      </w:r>
      <w:proofErr w:type="spellStart"/>
      <w:r w:rsidRPr="00672D4A">
        <w:rPr>
          <w:rFonts w:ascii="Times New Roman" w:eastAsia="Times New Roman" w:hAnsi="Times New Roman" w:cs="Times New Roman"/>
          <w:sz w:val="24"/>
          <w:szCs w:val="24"/>
        </w:rPr>
        <w:t>sociodemographics</w:t>
      </w:r>
      <w:proofErr w:type="spellEnd"/>
      <w:r w:rsidRPr="00672D4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health-related quality of life</w:t>
      </w:r>
      <w:r w:rsidRPr="00672D4A">
        <w:rPr>
          <w:rFonts w:ascii="Times New Roman" w:eastAsia="Times New Roman" w:hAnsi="Times New Roman" w:cs="Times New Roman"/>
          <w:sz w:val="24"/>
          <w:szCs w:val="24"/>
        </w:rPr>
        <w:t xml:space="preserve">, and psychosocial factors. </w:t>
      </w:r>
      <w:r>
        <w:rPr>
          <w:rFonts w:ascii="Times New Roman" w:eastAsia="Times New Roman" w:hAnsi="Times New Roman" w:cs="Times New Roman"/>
          <w:sz w:val="24"/>
          <w:szCs w:val="24"/>
        </w:rPr>
        <w:t xml:space="preserve">In this study, we focus on baseline data from the Beck Depression Inventory (BDI; Beck, 1961), a commonly used scale for assessing depression. The BDI contains 21 items, each rated on a 4-point scale. A sample BDI question about being disappointed contains the 4 response options:  </w:t>
      </w:r>
      <w:r w:rsidRPr="000A7AB6">
        <w:rPr>
          <w:rFonts w:ascii="Times New Roman" w:eastAsia="Times New Roman" w:hAnsi="Times New Roman" w:cs="Times New Roman"/>
          <w:sz w:val="24"/>
          <w:szCs w:val="24"/>
        </w:rPr>
        <w:t>0</w:t>
      </w:r>
      <w:r>
        <w:rPr>
          <w:rFonts w:ascii="Times New Roman" w:eastAsia="Times New Roman" w:hAnsi="Times New Roman" w:cs="Times New Roman"/>
          <w:sz w:val="24"/>
          <w:szCs w:val="24"/>
        </w:rPr>
        <w:t>=</w:t>
      </w:r>
      <w:r w:rsidRPr="000A7AB6">
        <w:rPr>
          <w:rFonts w:ascii="Times New Roman" w:eastAsia="Times New Roman" w:hAnsi="Times New Roman" w:cs="Times New Roman"/>
          <w:sz w:val="24"/>
          <w:szCs w:val="24"/>
        </w:rPr>
        <w:t xml:space="preserve"> I don't feel disappointed in myself</w:t>
      </w:r>
      <w:r>
        <w:rPr>
          <w:rFonts w:ascii="Times New Roman" w:eastAsia="Times New Roman" w:hAnsi="Times New Roman" w:cs="Times New Roman"/>
          <w:sz w:val="24"/>
          <w:szCs w:val="24"/>
        </w:rPr>
        <w:t xml:space="preserve">; </w:t>
      </w:r>
      <w:r w:rsidRPr="000A7AB6">
        <w:rPr>
          <w:rFonts w:ascii="Times New Roman" w:eastAsia="Times New Roman" w:hAnsi="Times New Roman" w:cs="Times New Roman"/>
          <w:sz w:val="24"/>
          <w:szCs w:val="24"/>
        </w:rPr>
        <w:t>1</w:t>
      </w:r>
      <w:r>
        <w:rPr>
          <w:rFonts w:ascii="Times New Roman" w:eastAsia="Times New Roman" w:hAnsi="Times New Roman" w:cs="Times New Roman"/>
          <w:sz w:val="24"/>
          <w:szCs w:val="24"/>
        </w:rPr>
        <w:t>=</w:t>
      </w:r>
      <w:r w:rsidRPr="000A7AB6">
        <w:rPr>
          <w:rFonts w:ascii="Times New Roman" w:eastAsia="Times New Roman" w:hAnsi="Times New Roman" w:cs="Times New Roman"/>
          <w:sz w:val="24"/>
          <w:szCs w:val="24"/>
        </w:rPr>
        <w:t>I am disappointed in myself</w:t>
      </w:r>
      <w:r>
        <w:rPr>
          <w:rFonts w:ascii="Times New Roman" w:eastAsia="Times New Roman" w:hAnsi="Times New Roman" w:cs="Times New Roman"/>
          <w:sz w:val="24"/>
          <w:szCs w:val="24"/>
        </w:rPr>
        <w:t>; = 2=</w:t>
      </w:r>
      <w:r w:rsidRPr="000A7AB6">
        <w:rPr>
          <w:rFonts w:ascii="Times New Roman" w:eastAsia="Times New Roman" w:hAnsi="Times New Roman" w:cs="Times New Roman"/>
          <w:sz w:val="24"/>
          <w:szCs w:val="24"/>
        </w:rPr>
        <w:t>I am disgusted with myself</w:t>
      </w:r>
      <w:r>
        <w:rPr>
          <w:rFonts w:ascii="Times New Roman" w:eastAsia="Times New Roman" w:hAnsi="Times New Roman" w:cs="Times New Roman"/>
          <w:sz w:val="24"/>
          <w:szCs w:val="24"/>
        </w:rPr>
        <w:t>; and</w:t>
      </w:r>
      <w:r w:rsidRPr="000A7AB6">
        <w:rPr>
          <w:rFonts w:ascii="Times New Roman" w:eastAsia="Times New Roman" w:hAnsi="Times New Roman" w:cs="Times New Roman"/>
          <w:sz w:val="24"/>
          <w:szCs w:val="24"/>
        </w:rPr>
        <w:t xml:space="preserve"> 3</w:t>
      </w:r>
      <w:r>
        <w:rPr>
          <w:rFonts w:ascii="Times New Roman" w:eastAsia="Times New Roman" w:hAnsi="Times New Roman" w:cs="Times New Roman"/>
          <w:sz w:val="24"/>
          <w:szCs w:val="24"/>
        </w:rPr>
        <w:t>=</w:t>
      </w:r>
      <w:r w:rsidRPr="000A7AB6">
        <w:rPr>
          <w:rFonts w:ascii="Times New Roman" w:eastAsia="Times New Roman" w:hAnsi="Times New Roman" w:cs="Times New Roman"/>
          <w:sz w:val="24"/>
          <w:szCs w:val="24"/>
        </w:rPr>
        <w:t>I hate myself.</w:t>
      </w:r>
    </w:p>
    <w:p w14:paraId="454E1E54" w14:textId="77777777" w:rsidR="00BE1910" w:rsidRDefault="00BE1910" w:rsidP="00D56AFB">
      <w:pPr>
        <w:spacing w:after="0" w:line="480" w:lineRule="auto"/>
        <w:ind w:firstLine="720"/>
        <w:rPr>
          <w:rFonts w:ascii="Times New Roman" w:eastAsia="Times New Roman" w:hAnsi="Times New Roman" w:cs="Times New Roman"/>
          <w:sz w:val="24"/>
          <w:szCs w:val="24"/>
        </w:rPr>
      </w:pPr>
      <w:r w:rsidRPr="005A61D7">
        <w:rPr>
          <w:rFonts w:ascii="Times New Roman" w:eastAsia="Times New Roman" w:hAnsi="Times New Roman" w:cs="Times New Roman"/>
          <w:sz w:val="24"/>
          <w:szCs w:val="24"/>
        </w:rPr>
        <w:t>Out of 740 surveys mailed to women deemed eligible, 653 women completed baseline surveys</w:t>
      </w:r>
      <w:r>
        <w:rPr>
          <w:rFonts w:ascii="Times New Roman" w:eastAsia="Times New Roman" w:hAnsi="Times New Roman" w:cs="Times New Roman"/>
          <w:sz w:val="24"/>
          <w:szCs w:val="24"/>
        </w:rPr>
        <w:t xml:space="preserve">. The sample used in this study thus contained N=653 participants. </w:t>
      </w:r>
      <w:r w:rsidRPr="005A61D7">
        <w:rPr>
          <w:rFonts w:ascii="Times New Roman" w:eastAsia="Times New Roman" w:hAnsi="Times New Roman" w:cs="Times New Roman"/>
          <w:sz w:val="24"/>
          <w:szCs w:val="24"/>
        </w:rPr>
        <w:t xml:space="preserve">The average age of the sample was 54.9 years. The majority (89.6%) was White and most (87.4%) attained education beyond high school, and 71.7% were married or partnered. Most of the sample </w:t>
      </w:r>
      <w:r>
        <w:rPr>
          <w:rFonts w:ascii="Times New Roman" w:eastAsia="Times New Roman" w:hAnsi="Times New Roman" w:cs="Times New Roman"/>
          <w:sz w:val="24"/>
          <w:szCs w:val="24"/>
        </w:rPr>
        <w:t xml:space="preserve">(92%) </w:t>
      </w:r>
      <w:r w:rsidRPr="005A61D7">
        <w:rPr>
          <w:rFonts w:ascii="Times New Roman" w:eastAsia="Times New Roman" w:hAnsi="Times New Roman" w:cs="Times New Roman"/>
          <w:sz w:val="24"/>
          <w:szCs w:val="24"/>
        </w:rPr>
        <w:t>had been diagnosed with stage I</w:t>
      </w:r>
      <w:r>
        <w:rPr>
          <w:rFonts w:ascii="Times New Roman" w:eastAsia="Times New Roman" w:hAnsi="Times New Roman" w:cs="Times New Roman"/>
          <w:sz w:val="24"/>
          <w:szCs w:val="24"/>
        </w:rPr>
        <w:t xml:space="preserve"> or II </w:t>
      </w:r>
      <w:r w:rsidRPr="005A61D7">
        <w:rPr>
          <w:rFonts w:ascii="Times New Roman" w:eastAsia="Times New Roman" w:hAnsi="Times New Roman" w:cs="Times New Roman"/>
          <w:sz w:val="24"/>
          <w:szCs w:val="24"/>
        </w:rPr>
        <w:t>breast cancer. Two-thirds (66.9%) had received chemotherapy, 72.3% received radiation, and 63.7% had undergone surgery.</w:t>
      </w:r>
    </w:p>
    <w:p w14:paraId="60EE67E3" w14:textId="77777777" w:rsidR="00BE1910" w:rsidRPr="00066702" w:rsidRDefault="00BE1910" w:rsidP="00D56AFB">
      <w:pPr>
        <w:spacing w:after="0" w:line="480" w:lineRule="auto"/>
        <w:rPr>
          <w:rFonts w:ascii="Times New Roman" w:eastAsia="Times New Roman" w:hAnsi="Times New Roman" w:cs="Times New Roman"/>
          <w:b/>
          <w:bCs/>
          <w:sz w:val="24"/>
          <w:szCs w:val="24"/>
        </w:rPr>
      </w:pPr>
      <w:r w:rsidRPr="00066702">
        <w:rPr>
          <w:rFonts w:ascii="Times New Roman" w:eastAsia="Times New Roman" w:hAnsi="Times New Roman" w:cs="Times New Roman"/>
          <w:b/>
          <w:bCs/>
          <w:sz w:val="24"/>
          <w:szCs w:val="24"/>
        </w:rPr>
        <w:t>Poset IRT and GRM</w:t>
      </w:r>
    </w:p>
    <w:p w14:paraId="35145478" w14:textId="77777777" w:rsidR="00BE1910" w:rsidRDefault="00BE1910" w:rsidP="00D56AFB">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Two exploratory analyses for the BDI data were conducted. First, we applied the </w:t>
      </w:r>
      <w:proofErr w:type="spellStart"/>
      <w:r>
        <w:rPr>
          <w:rFonts w:ascii="Times New Roman" w:eastAsia="Times New Roman" w:hAnsi="Times New Roman" w:cs="Times New Roman"/>
          <w:sz w:val="24"/>
          <w:szCs w:val="24"/>
        </w:rPr>
        <w:t>poset</w:t>
      </w:r>
      <w:proofErr w:type="spellEnd"/>
      <w:r>
        <w:rPr>
          <w:rFonts w:ascii="Times New Roman" w:eastAsia="Times New Roman" w:hAnsi="Times New Roman" w:cs="Times New Roman"/>
          <w:sz w:val="24"/>
          <w:szCs w:val="24"/>
        </w:rPr>
        <w:t xml:space="preserve"> IRT to calibrate the items and examined the item parameters. Second, we explore ways to distinguish between a “healthy” population and a “depressed” </w:t>
      </w:r>
      <w:proofErr w:type="gramStart"/>
      <w:r>
        <w:rPr>
          <w:rFonts w:ascii="Times New Roman" w:eastAsia="Times New Roman" w:hAnsi="Times New Roman" w:cs="Times New Roman"/>
          <w:sz w:val="24"/>
          <w:szCs w:val="24"/>
        </w:rPr>
        <w:t>population, and</w:t>
      </w:r>
      <w:proofErr w:type="gramEnd"/>
      <w:r>
        <w:rPr>
          <w:rFonts w:ascii="Times New Roman" w:eastAsia="Times New Roman" w:hAnsi="Times New Roman" w:cs="Times New Roman"/>
          <w:sz w:val="24"/>
          <w:szCs w:val="24"/>
        </w:rPr>
        <w:t xml:space="preserve"> then used </w:t>
      </w:r>
      <w:proofErr w:type="spellStart"/>
      <w:r>
        <w:rPr>
          <w:rFonts w:ascii="Times New Roman" w:eastAsia="Times New Roman" w:hAnsi="Times New Roman" w:cs="Times New Roman"/>
          <w:sz w:val="24"/>
          <w:szCs w:val="24"/>
        </w:rPr>
        <w:t>poset</w:t>
      </w:r>
      <w:proofErr w:type="spellEnd"/>
      <w:r>
        <w:rPr>
          <w:rFonts w:ascii="Times New Roman" w:eastAsia="Times New Roman" w:hAnsi="Times New Roman" w:cs="Times New Roman"/>
          <w:sz w:val="24"/>
          <w:szCs w:val="24"/>
        </w:rPr>
        <w:t xml:space="preserve"> IRT to calibrate the items by including only the “depressed” population. We also examined item parameters and latent distributions. </w:t>
      </w:r>
    </w:p>
    <w:p w14:paraId="58918346" w14:textId="77777777" w:rsidR="00D56AFB" w:rsidRDefault="00BE1910" w:rsidP="00D56AFB">
      <w:pPr>
        <w:spacing w:after="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w:t>
      </w:r>
      <w:proofErr w:type="spellStart"/>
      <w:r>
        <w:rPr>
          <w:rFonts w:ascii="Times New Roman" w:eastAsia="Times New Roman" w:hAnsi="Times New Roman" w:cs="Times New Roman"/>
          <w:sz w:val="24"/>
          <w:szCs w:val="24"/>
        </w:rPr>
        <w:t>poset</w:t>
      </w:r>
      <w:proofErr w:type="spellEnd"/>
      <w:r>
        <w:rPr>
          <w:rFonts w:ascii="Times New Roman" w:eastAsia="Times New Roman" w:hAnsi="Times New Roman" w:cs="Times New Roman"/>
          <w:sz w:val="24"/>
          <w:szCs w:val="24"/>
        </w:rPr>
        <w:t xml:space="preserve"> IRT method was described in Ip et al. (2022), and theoretical foundation was reported in Zhang &amp; Ip (2012), Ip et al. (2013), and Ip, Chen, &amp; Quandt (2016).  Briefly, the </w:t>
      </w:r>
      <w:proofErr w:type="spellStart"/>
      <w:r>
        <w:rPr>
          <w:rFonts w:ascii="Times New Roman" w:eastAsia="Times New Roman" w:hAnsi="Times New Roman" w:cs="Times New Roman"/>
          <w:sz w:val="24"/>
          <w:szCs w:val="24"/>
        </w:rPr>
        <w:t>poset</w:t>
      </w:r>
      <w:proofErr w:type="spellEnd"/>
      <w:r>
        <w:rPr>
          <w:rFonts w:ascii="Times New Roman" w:eastAsia="Times New Roman" w:hAnsi="Times New Roman" w:cs="Times New Roman"/>
          <w:sz w:val="24"/>
          <w:szCs w:val="24"/>
        </w:rPr>
        <w:t xml:space="preserve"> IRT is designed to calibrate a new class of response data that are partially ordered. Unlike traditional response data, </w:t>
      </w:r>
      <w:proofErr w:type="spellStart"/>
      <w:r>
        <w:rPr>
          <w:rFonts w:ascii="Times New Roman" w:eastAsia="Times New Roman" w:hAnsi="Times New Roman" w:cs="Times New Roman"/>
          <w:sz w:val="24"/>
          <w:szCs w:val="24"/>
        </w:rPr>
        <w:t>poset</w:t>
      </w:r>
      <w:proofErr w:type="spellEnd"/>
      <w:r>
        <w:rPr>
          <w:rFonts w:ascii="Times New Roman" w:eastAsia="Times New Roman" w:hAnsi="Times New Roman" w:cs="Times New Roman"/>
          <w:sz w:val="24"/>
          <w:szCs w:val="24"/>
        </w:rPr>
        <w:t xml:space="preserve"> data allows some form of ordering that may not be complete and represents a generalization to ordinal and categorical response data. A </w:t>
      </w:r>
      <w:proofErr w:type="spellStart"/>
      <w:r>
        <w:rPr>
          <w:rFonts w:ascii="Times New Roman" w:eastAsia="Times New Roman" w:hAnsi="Times New Roman" w:cs="Times New Roman"/>
          <w:sz w:val="24"/>
          <w:szCs w:val="24"/>
        </w:rPr>
        <w:t>classical</w:t>
      </w:r>
      <w:proofErr w:type="spellEnd"/>
      <w:r>
        <w:rPr>
          <w:rFonts w:ascii="Times New Roman" w:eastAsia="Times New Roman" w:hAnsi="Times New Roman" w:cs="Times New Roman"/>
          <w:sz w:val="24"/>
          <w:szCs w:val="24"/>
        </w:rPr>
        <w:t xml:space="preserve"> example would be a </w:t>
      </w:r>
      <w:proofErr w:type="spellStart"/>
      <w:r>
        <w:rPr>
          <w:rFonts w:ascii="Times New Roman" w:eastAsia="Times New Roman" w:hAnsi="Times New Roman" w:cs="Times New Roman"/>
          <w:sz w:val="24"/>
          <w:szCs w:val="24"/>
        </w:rPr>
        <w:t>testlet</w:t>
      </w:r>
      <w:proofErr w:type="spellEnd"/>
      <w:r>
        <w:rPr>
          <w:rFonts w:ascii="Times New Roman" w:eastAsia="Times New Roman" w:hAnsi="Times New Roman" w:cs="Times New Roman"/>
          <w:sz w:val="24"/>
          <w:szCs w:val="24"/>
        </w:rPr>
        <w:t xml:space="preserve"> of two binary items (Figure 1b), where the categories 01 and 10 are deemed not comparable. One example of such a </w:t>
      </w:r>
      <w:proofErr w:type="gramStart"/>
      <w:r>
        <w:rPr>
          <w:rFonts w:ascii="Times New Roman" w:eastAsia="Times New Roman" w:hAnsi="Times New Roman" w:cs="Times New Roman"/>
          <w:sz w:val="24"/>
          <w:szCs w:val="24"/>
        </w:rPr>
        <w:t>top-spin</w:t>
      </w:r>
      <w:proofErr w:type="gramEnd"/>
      <w:r>
        <w:rPr>
          <w:rFonts w:ascii="Times New Roman" w:eastAsia="Times New Roman" w:hAnsi="Times New Roman" w:cs="Times New Roman"/>
          <w:sz w:val="24"/>
          <w:szCs w:val="24"/>
        </w:rPr>
        <w:t xml:space="preserve"> like structure in PRO is symptom that contains the following two attributes: severe (yes 1, or no 0) and </w:t>
      </w:r>
      <w:proofErr w:type="spellStart"/>
      <w:r>
        <w:rPr>
          <w:rFonts w:ascii="Times New Roman" w:eastAsia="Times New Roman" w:hAnsi="Times New Roman" w:cs="Times New Roman"/>
          <w:sz w:val="24"/>
          <w:szCs w:val="24"/>
        </w:rPr>
        <w:t>bothersomeness</w:t>
      </w:r>
      <w:proofErr w:type="spellEnd"/>
      <w:r>
        <w:rPr>
          <w:rFonts w:ascii="Times New Roman" w:eastAsia="Times New Roman" w:hAnsi="Times New Roman" w:cs="Times New Roman"/>
          <w:sz w:val="24"/>
          <w:szCs w:val="24"/>
        </w:rPr>
        <w:t xml:space="preserve"> (yes 1, or no 0). It can be proved that such a </w:t>
      </w:r>
      <w:proofErr w:type="spellStart"/>
      <w:r>
        <w:rPr>
          <w:rFonts w:ascii="Times New Roman" w:eastAsia="Times New Roman" w:hAnsi="Times New Roman" w:cs="Times New Roman"/>
          <w:sz w:val="24"/>
          <w:szCs w:val="24"/>
        </w:rPr>
        <w:t>poset</w:t>
      </w:r>
      <w:proofErr w:type="spellEnd"/>
      <w:r>
        <w:rPr>
          <w:rFonts w:ascii="Times New Roman" w:eastAsia="Times New Roman" w:hAnsi="Times New Roman" w:cs="Times New Roman"/>
          <w:sz w:val="24"/>
          <w:szCs w:val="24"/>
        </w:rPr>
        <w:t xml:space="preserve"> structure can be decomposed into a chain of comparable categories 11</w:t>
      </w:r>
      <w:proofErr w:type="gramStart"/>
      <w:r>
        <w:rPr>
          <w:rFonts w:ascii="Times New Roman" w:eastAsia="Times New Roman" w:hAnsi="Times New Roman" w:cs="Times New Roman"/>
          <w:sz w:val="24"/>
          <w:szCs w:val="24"/>
        </w:rPr>
        <w:t>&gt;{</w:t>
      </w:r>
      <w:proofErr w:type="gramEnd"/>
      <w:r>
        <w:rPr>
          <w:rFonts w:ascii="Times New Roman" w:eastAsia="Times New Roman" w:hAnsi="Times New Roman" w:cs="Times New Roman"/>
          <w:sz w:val="24"/>
          <w:szCs w:val="24"/>
        </w:rPr>
        <w:t xml:space="preserve">10,01}&gt;00 and an antichain of incomparable categories 01 and 10.  Within a latent variable framework, analyzing such </w:t>
      </w:r>
      <w:proofErr w:type="spellStart"/>
      <w:r>
        <w:rPr>
          <w:rFonts w:ascii="Times New Roman" w:eastAsia="Times New Roman" w:hAnsi="Times New Roman" w:cs="Times New Roman"/>
          <w:sz w:val="24"/>
          <w:szCs w:val="24"/>
        </w:rPr>
        <w:t>poset</w:t>
      </w:r>
      <w:proofErr w:type="spellEnd"/>
      <w:r>
        <w:rPr>
          <w:rFonts w:ascii="Times New Roman" w:eastAsia="Times New Roman" w:hAnsi="Times New Roman" w:cs="Times New Roman"/>
          <w:sz w:val="24"/>
          <w:szCs w:val="24"/>
        </w:rPr>
        <w:t xml:space="preserve"> responses can be translated into recoding the responses into subitems. In the example, the </w:t>
      </w:r>
      <w:proofErr w:type="spellStart"/>
      <w:r>
        <w:rPr>
          <w:rFonts w:ascii="Times New Roman" w:eastAsia="Times New Roman" w:hAnsi="Times New Roman" w:cs="Times New Roman"/>
          <w:sz w:val="24"/>
          <w:szCs w:val="24"/>
        </w:rPr>
        <w:t>poset</w:t>
      </w:r>
      <w:proofErr w:type="spellEnd"/>
      <w:r>
        <w:rPr>
          <w:rFonts w:ascii="Times New Roman" w:eastAsia="Times New Roman" w:hAnsi="Times New Roman" w:cs="Times New Roman"/>
          <w:sz w:val="24"/>
          <w:szCs w:val="24"/>
        </w:rPr>
        <w:t xml:space="preserve"> decomposition would result in two subitems that is shown in </w:t>
      </w:r>
    </w:p>
    <w:p w14:paraId="67F953BC" w14:textId="58FF634E" w:rsidR="00BE1910" w:rsidRDefault="00BE1910" w:rsidP="00D56AFB">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Table 1. The principle applies to more complex </w:t>
      </w:r>
      <w:proofErr w:type="spellStart"/>
      <w:r>
        <w:rPr>
          <w:rFonts w:ascii="Times New Roman" w:eastAsia="Times New Roman" w:hAnsi="Times New Roman" w:cs="Times New Roman"/>
          <w:sz w:val="24"/>
          <w:szCs w:val="24"/>
        </w:rPr>
        <w:t>poset</w:t>
      </w:r>
      <w:proofErr w:type="spellEnd"/>
      <w:r>
        <w:rPr>
          <w:rFonts w:ascii="Times New Roman" w:eastAsia="Times New Roman" w:hAnsi="Times New Roman" w:cs="Times New Roman"/>
          <w:sz w:val="24"/>
          <w:szCs w:val="24"/>
        </w:rPr>
        <w:t xml:space="preserve"> structures. Accordingly, the nominal IRT model (for subitem 1) and graded response model (for subitem 2) can be applied to the recoded data. Using the recoding scheme, it is possible to analyze </w:t>
      </w:r>
      <w:proofErr w:type="spellStart"/>
      <w:r>
        <w:rPr>
          <w:rFonts w:ascii="Times New Roman" w:eastAsia="Times New Roman" w:hAnsi="Times New Roman" w:cs="Times New Roman"/>
          <w:sz w:val="24"/>
          <w:szCs w:val="24"/>
        </w:rPr>
        <w:t>poset</w:t>
      </w:r>
      <w:proofErr w:type="spellEnd"/>
      <w:r>
        <w:rPr>
          <w:rFonts w:ascii="Times New Roman" w:eastAsia="Times New Roman" w:hAnsi="Times New Roman" w:cs="Times New Roman"/>
          <w:sz w:val="24"/>
          <w:szCs w:val="24"/>
        </w:rPr>
        <w:t xml:space="preserve"> data using commonly available IRT programs such as </w:t>
      </w:r>
      <w:proofErr w:type="spellStart"/>
      <w:r>
        <w:rPr>
          <w:rFonts w:ascii="Times New Roman" w:eastAsia="Times New Roman" w:hAnsi="Times New Roman" w:cs="Times New Roman"/>
          <w:sz w:val="24"/>
          <w:szCs w:val="24"/>
        </w:rPr>
        <w:t>mirt</w:t>
      </w:r>
      <w:proofErr w:type="spellEnd"/>
      <w:r>
        <w:rPr>
          <w:rFonts w:ascii="Times New Roman" w:eastAsia="Times New Roman" w:hAnsi="Times New Roman" w:cs="Times New Roman"/>
          <w:sz w:val="24"/>
          <w:szCs w:val="24"/>
        </w:rPr>
        <w:t xml:space="preserve"> and IRTPRO. </w:t>
      </w:r>
    </w:p>
    <w:p w14:paraId="20CFEEAB" w14:textId="77777777" w:rsidR="00731504" w:rsidRDefault="00731504" w:rsidP="00D56AFB">
      <w:pPr>
        <w:spacing w:after="0" w:line="480" w:lineRule="auto"/>
        <w:rPr>
          <w:rFonts w:ascii="Times New Roman" w:eastAsia="Times New Roman" w:hAnsi="Times New Roman" w:cs="Times New Roman"/>
          <w:sz w:val="24"/>
          <w:szCs w:val="24"/>
        </w:rPr>
      </w:pPr>
    </w:p>
    <w:p w14:paraId="1393196D" w14:textId="77777777" w:rsidR="00D56AFB" w:rsidRDefault="00D56AFB" w:rsidP="00D56AFB">
      <w:pPr>
        <w:spacing w:after="0" w:line="480" w:lineRule="auto"/>
        <w:rPr>
          <w:rFonts w:ascii="Times New Roman" w:eastAsia="Times New Roman" w:hAnsi="Times New Roman" w:cs="Times New Roman"/>
          <w:sz w:val="24"/>
          <w:szCs w:val="24"/>
        </w:rPr>
      </w:pPr>
    </w:p>
    <w:p w14:paraId="63DCC573" w14:textId="77777777" w:rsidR="00D56AFB" w:rsidRDefault="00D56AFB" w:rsidP="00D56AFB">
      <w:pPr>
        <w:spacing w:after="0" w:line="480" w:lineRule="auto"/>
        <w:rPr>
          <w:rFonts w:ascii="Times New Roman" w:eastAsia="Times New Roman" w:hAnsi="Times New Roman" w:cs="Times New Roman"/>
          <w:sz w:val="24"/>
          <w:szCs w:val="24"/>
        </w:rPr>
      </w:pPr>
    </w:p>
    <w:p w14:paraId="51479B69" w14:textId="77777777" w:rsidR="00D56AFB" w:rsidRDefault="00D56AFB" w:rsidP="00D56AFB">
      <w:pPr>
        <w:spacing w:after="0" w:line="480" w:lineRule="auto"/>
        <w:rPr>
          <w:rFonts w:ascii="Times New Roman" w:eastAsia="Times New Roman" w:hAnsi="Times New Roman" w:cs="Times New Roman"/>
          <w:sz w:val="24"/>
          <w:szCs w:val="24"/>
        </w:rPr>
      </w:pPr>
    </w:p>
    <w:p w14:paraId="04D93A8D" w14:textId="77777777" w:rsidR="00D56AFB" w:rsidRDefault="00D56AFB" w:rsidP="00D56AFB">
      <w:pPr>
        <w:spacing w:after="0" w:line="480" w:lineRule="auto"/>
        <w:rPr>
          <w:rFonts w:ascii="Times New Roman" w:eastAsia="Times New Roman" w:hAnsi="Times New Roman" w:cs="Times New Roman"/>
          <w:sz w:val="24"/>
          <w:szCs w:val="24"/>
        </w:rPr>
      </w:pPr>
    </w:p>
    <w:p w14:paraId="727D9959" w14:textId="77777777" w:rsidR="00D56AFB" w:rsidRDefault="00D56AFB" w:rsidP="00D56AFB">
      <w:pPr>
        <w:spacing w:after="0" w:line="480" w:lineRule="auto"/>
        <w:rPr>
          <w:rFonts w:ascii="Times New Roman" w:eastAsia="Times New Roman" w:hAnsi="Times New Roman" w:cs="Times New Roman"/>
          <w:sz w:val="24"/>
          <w:szCs w:val="24"/>
        </w:rPr>
      </w:pPr>
    </w:p>
    <w:p w14:paraId="21A6FCEA" w14:textId="77777777" w:rsidR="00D56AFB" w:rsidRDefault="00D56AFB" w:rsidP="00D56AFB">
      <w:pPr>
        <w:spacing w:after="0" w:line="480" w:lineRule="auto"/>
        <w:rPr>
          <w:rFonts w:ascii="Times New Roman" w:eastAsia="Times New Roman" w:hAnsi="Times New Roman" w:cs="Times New Roman"/>
          <w:sz w:val="24"/>
          <w:szCs w:val="24"/>
        </w:rPr>
      </w:pPr>
    </w:p>
    <w:p w14:paraId="4F73A046" w14:textId="77777777" w:rsidR="00D56AFB" w:rsidRDefault="00D56AFB" w:rsidP="00D56AFB">
      <w:pPr>
        <w:spacing w:after="0" w:line="480" w:lineRule="auto"/>
        <w:rPr>
          <w:rFonts w:ascii="Times New Roman" w:eastAsia="Times New Roman" w:hAnsi="Times New Roman" w:cs="Times New Roman"/>
          <w:sz w:val="24"/>
          <w:szCs w:val="24"/>
        </w:rPr>
      </w:pPr>
    </w:p>
    <w:p w14:paraId="07089364" w14:textId="77777777" w:rsidR="00D56AFB" w:rsidRDefault="00D56AFB" w:rsidP="00D56AFB">
      <w:pPr>
        <w:spacing w:after="0" w:line="480" w:lineRule="auto"/>
        <w:rPr>
          <w:rFonts w:ascii="Times New Roman" w:eastAsia="Times New Roman" w:hAnsi="Times New Roman" w:cs="Times New Roman"/>
          <w:sz w:val="24"/>
          <w:szCs w:val="24"/>
        </w:rPr>
      </w:pPr>
    </w:p>
    <w:p w14:paraId="17628F6A" w14:textId="77777777" w:rsidR="00D56AFB" w:rsidRDefault="00D56AFB" w:rsidP="00D56AFB">
      <w:pPr>
        <w:spacing w:after="0" w:line="480" w:lineRule="auto"/>
        <w:rPr>
          <w:rFonts w:ascii="Times New Roman" w:eastAsia="Times New Roman" w:hAnsi="Times New Roman" w:cs="Times New Roman"/>
          <w:sz w:val="24"/>
          <w:szCs w:val="24"/>
        </w:rPr>
      </w:pPr>
    </w:p>
    <w:p w14:paraId="29F27DF7" w14:textId="67CB0846" w:rsidR="00526600" w:rsidRDefault="00526600" w:rsidP="00D56AFB">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Table 1. </w:t>
      </w:r>
      <w:r w:rsidR="002610EF">
        <w:rPr>
          <w:rFonts w:ascii="Times New Roman" w:eastAsia="Times New Roman" w:hAnsi="Times New Roman" w:cs="Times New Roman"/>
          <w:sz w:val="24"/>
          <w:szCs w:val="24"/>
        </w:rPr>
        <w:t xml:space="preserve">Recoding of response patterns into subitems for </w:t>
      </w:r>
      <w:proofErr w:type="spellStart"/>
      <w:r w:rsidR="002610EF">
        <w:rPr>
          <w:rFonts w:ascii="Times New Roman" w:eastAsia="Times New Roman" w:hAnsi="Times New Roman" w:cs="Times New Roman"/>
          <w:sz w:val="24"/>
          <w:szCs w:val="24"/>
        </w:rPr>
        <w:t>poset</w:t>
      </w:r>
      <w:proofErr w:type="spellEnd"/>
      <w:r w:rsidR="002610EF">
        <w:rPr>
          <w:rFonts w:ascii="Times New Roman" w:eastAsia="Times New Roman" w:hAnsi="Times New Roman" w:cs="Times New Roman"/>
          <w:sz w:val="24"/>
          <w:szCs w:val="24"/>
        </w:rPr>
        <w:t xml:space="preserve"> IRT analysis.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337"/>
        <w:gridCol w:w="2338"/>
        <w:gridCol w:w="2338"/>
      </w:tblGrid>
      <w:tr w:rsidR="000E673B" w14:paraId="68227BDB" w14:textId="77777777" w:rsidTr="00D56AFB">
        <w:tc>
          <w:tcPr>
            <w:tcW w:w="4674" w:type="dxa"/>
            <w:gridSpan w:val="2"/>
            <w:tcBorders>
              <w:top w:val="single" w:sz="4" w:space="0" w:color="auto"/>
              <w:bottom w:val="single" w:sz="4" w:space="0" w:color="auto"/>
            </w:tcBorders>
          </w:tcPr>
          <w:p w14:paraId="7EC7B5B7" w14:textId="0ECDFB5F" w:rsidR="000E673B" w:rsidRDefault="00223C51" w:rsidP="00D56AFB">
            <w:pPr>
              <w:spacing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Response pattern</w:t>
            </w:r>
          </w:p>
        </w:tc>
        <w:tc>
          <w:tcPr>
            <w:tcW w:w="2338" w:type="dxa"/>
            <w:tcBorders>
              <w:top w:val="single" w:sz="4" w:space="0" w:color="auto"/>
              <w:bottom w:val="single" w:sz="4" w:space="0" w:color="auto"/>
            </w:tcBorders>
          </w:tcPr>
          <w:p w14:paraId="4E93218B" w14:textId="05F392F3" w:rsidR="000E673B" w:rsidRDefault="000E673B" w:rsidP="00D56AF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Subitem 1</w:t>
            </w:r>
            <w:r w:rsidR="00D56AFB">
              <w:rPr>
                <w:rFonts w:ascii="Times New Roman" w:eastAsia="Times New Roman" w:hAnsi="Times New Roman" w:cs="Times New Roman"/>
                <w:sz w:val="24"/>
                <w:szCs w:val="24"/>
              </w:rPr>
              <w:t>*</w:t>
            </w:r>
          </w:p>
        </w:tc>
        <w:tc>
          <w:tcPr>
            <w:tcW w:w="2338" w:type="dxa"/>
            <w:tcBorders>
              <w:top w:val="single" w:sz="4" w:space="0" w:color="auto"/>
              <w:bottom w:val="single" w:sz="4" w:space="0" w:color="auto"/>
            </w:tcBorders>
          </w:tcPr>
          <w:p w14:paraId="7D7AB945" w14:textId="6C591C10" w:rsidR="000E673B" w:rsidRDefault="000E673B" w:rsidP="00D56AF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Subitem 2</w:t>
            </w:r>
            <w:r w:rsidR="00D56AFB">
              <w:rPr>
                <w:rFonts w:ascii="Times New Roman" w:eastAsia="Times New Roman" w:hAnsi="Times New Roman" w:cs="Times New Roman"/>
                <w:sz w:val="24"/>
                <w:szCs w:val="24"/>
              </w:rPr>
              <w:t>*</w:t>
            </w:r>
          </w:p>
        </w:tc>
      </w:tr>
      <w:tr w:rsidR="004B222F" w14:paraId="54594443" w14:textId="77777777" w:rsidTr="00D56AFB">
        <w:tc>
          <w:tcPr>
            <w:tcW w:w="2337" w:type="dxa"/>
            <w:tcBorders>
              <w:top w:val="single" w:sz="4" w:space="0" w:color="auto"/>
              <w:bottom w:val="single" w:sz="4" w:space="0" w:color="auto"/>
            </w:tcBorders>
          </w:tcPr>
          <w:p w14:paraId="70A93AF4" w14:textId="260E7825" w:rsidR="004B222F" w:rsidRDefault="004B222F" w:rsidP="00D56AFB">
            <w:pPr>
              <w:spacing w:line="480" w:lineRule="auto"/>
              <w:rPr>
                <w:rFonts w:ascii="Times New Roman" w:eastAsia="Times New Roman" w:hAnsi="Times New Roman" w:cs="Times New Roman"/>
                <w:sz w:val="24"/>
                <w:szCs w:val="24"/>
              </w:rPr>
            </w:pPr>
            <w:bookmarkStart w:id="0" w:name="_Hlk194353541"/>
            <w:r>
              <w:rPr>
                <w:rFonts w:ascii="Times New Roman" w:eastAsia="Times New Roman" w:hAnsi="Times New Roman" w:cs="Times New Roman"/>
                <w:sz w:val="24"/>
                <w:szCs w:val="24"/>
              </w:rPr>
              <w:t>Y</w:t>
            </w:r>
            <w:r w:rsidRPr="004B222F">
              <w:rPr>
                <w:rFonts w:ascii="Times New Roman" w:eastAsia="Times New Roman" w:hAnsi="Times New Roman" w:cs="Times New Roman"/>
                <w:sz w:val="24"/>
                <w:szCs w:val="24"/>
                <w:vertAlign w:val="subscript"/>
              </w:rPr>
              <w:t>1</w:t>
            </w:r>
            <w:bookmarkEnd w:id="0"/>
          </w:p>
        </w:tc>
        <w:tc>
          <w:tcPr>
            <w:tcW w:w="2337" w:type="dxa"/>
            <w:tcBorders>
              <w:top w:val="single" w:sz="4" w:space="0" w:color="auto"/>
              <w:bottom w:val="single" w:sz="4" w:space="0" w:color="auto"/>
            </w:tcBorders>
          </w:tcPr>
          <w:p w14:paraId="27479150" w14:textId="1423F138" w:rsidR="004B222F" w:rsidRDefault="004B222F" w:rsidP="00D56AF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w:t>
            </w:r>
            <w:r w:rsidRPr="004B222F">
              <w:rPr>
                <w:rFonts w:ascii="Times New Roman" w:eastAsia="Times New Roman" w:hAnsi="Times New Roman" w:cs="Times New Roman"/>
                <w:sz w:val="24"/>
                <w:szCs w:val="24"/>
                <w:vertAlign w:val="subscript"/>
              </w:rPr>
              <w:t>2</w:t>
            </w:r>
          </w:p>
        </w:tc>
        <w:tc>
          <w:tcPr>
            <w:tcW w:w="2338" w:type="dxa"/>
            <w:tcBorders>
              <w:top w:val="single" w:sz="4" w:space="0" w:color="auto"/>
              <w:bottom w:val="single" w:sz="4" w:space="0" w:color="auto"/>
            </w:tcBorders>
          </w:tcPr>
          <w:p w14:paraId="7F9E6879" w14:textId="00032B62" w:rsidR="004B222F" w:rsidRDefault="004B222F" w:rsidP="00D56AFB">
            <w:pPr>
              <w:spacing w:line="48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Y</w:t>
            </w:r>
            <w:r w:rsidR="00C0186F" w:rsidRPr="00C0186F">
              <w:rPr>
                <w:rFonts w:ascii="Times New Roman" w:eastAsia="Times New Roman" w:hAnsi="Times New Roman" w:cs="Times New Roman"/>
                <w:sz w:val="24"/>
                <w:szCs w:val="24"/>
                <w:vertAlign w:val="subscript"/>
              </w:rPr>
              <w:t>c</w:t>
            </w:r>
            <w:proofErr w:type="spellEnd"/>
          </w:p>
        </w:tc>
        <w:tc>
          <w:tcPr>
            <w:tcW w:w="2338" w:type="dxa"/>
            <w:tcBorders>
              <w:top w:val="single" w:sz="4" w:space="0" w:color="auto"/>
              <w:bottom w:val="single" w:sz="4" w:space="0" w:color="auto"/>
            </w:tcBorders>
          </w:tcPr>
          <w:p w14:paraId="7B1AF5EB" w14:textId="74F033EA" w:rsidR="004B222F" w:rsidRDefault="00C0186F" w:rsidP="00D56AFB">
            <w:pPr>
              <w:spacing w:line="48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Y</w:t>
            </w:r>
            <w:r w:rsidRPr="00C0186F">
              <w:rPr>
                <w:rFonts w:ascii="Times New Roman" w:eastAsia="Times New Roman" w:hAnsi="Times New Roman" w:cs="Times New Roman"/>
                <w:sz w:val="24"/>
                <w:szCs w:val="24"/>
                <w:vertAlign w:val="subscript"/>
              </w:rPr>
              <w:t>o</w:t>
            </w:r>
            <w:proofErr w:type="spellEnd"/>
          </w:p>
        </w:tc>
      </w:tr>
      <w:tr w:rsidR="00526600" w14:paraId="10C54060" w14:textId="77777777" w:rsidTr="00D56AFB">
        <w:tc>
          <w:tcPr>
            <w:tcW w:w="2337" w:type="dxa"/>
            <w:tcBorders>
              <w:top w:val="single" w:sz="4" w:space="0" w:color="auto"/>
            </w:tcBorders>
          </w:tcPr>
          <w:p w14:paraId="0DF68110" w14:textId="4C0D9199" w:rsidR="00526600" w:rsidRDefault="00526600" w:rsidP="00D56AF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337" w:type="dxa"/>
            <w:tcBorders>
              <w:top w:val="single" w:sz="4" w:space="0" w:color="auto"/>
            </w:tcBorders>
          </w:tcPr>
          <w:p w14:paraId="44C209FF" w14:textId="3F976A75" w:rsidR="00526600" w:rsidRDefault="00526600" w:rsidP="00D56AF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338" w:type="dxa"/>
            <w:tcBorders>
              <w:top w:val="single" w:sz="4" w:space="0" w:color="auto"/>
            </w:tcBorders>
          </w:tcPr>
          <w:p w14:paraId="6306448A" w14:textId="3D096F20" w:rsidR="00526600" w:rsidRDefault="000E673B" w:rsidP="00D56AF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NA</w:t>
            </w:r>
          </w:p>
        </w:tc>
        <w:tc>
          <w:tcPr>
            <w:tcW w:w="2338" w:type="dxa"/>
            <w:tcBorders>
              <w:top w:val="single" w:sz="4" w:space="0" w:color="auto"/>
            </w:tcBorders>
          </w:tcPr>
          <w:p w14:paraId="02805839" w14:textId="0427CC0A" w:rsidR="00526600" w:rsidRDefault="00492A04" w:rsidP="00D56AF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526600" w14:paraId="65835C0A" w14:textId="77777777" w:rsidTr="00BE1910">
        <w:tc>
          <w:tcPr>
            <w:tcW w:w="2337" w:type="dxa"/>
          </w:tcPr>
          <w:p w14:paraId="7A436928" w14:textId="7F67EA28" w:rsidR="00526600" w:rsidRDefault="003A0B02" w:rsidP="00D56AF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337" w:type="dxa"/>
          </w:tcPr>
          <w:p w14:paraId="072622EA" w14:textId="508EFC16" w:rsidR="00526600" w:rsidRDefault="003A0B02" w:rsidP="00D56AF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338" w:type="dxa"/>
          </w:tcPr>
          <w:p w14:paraId="5D161664" w14:textId="2DF8E908" w:rsidR="00526600" w:rsidRDefault="000E673B" w:rsidP="00D56AF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338" w:type="dxa"/>
          </w:tcPr>
          <w:p w14:paraId="3365DAB0" w14:textId="05CB5C13" w:rsidR="00526600" w:rsidRDefault="00492A04" w:rsidP="00D56AF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526600" w14:paraId="2DD267ED" w14:textId="77777777" w:rsidTr="00C0186F">
        <w:tc>
          <w:tcPr>
            <w:tcW w:w="2337" w:type="dxa"/>
          </w:tcPr>
          <w:p w14:paraId="7B6EDE1F" w14:textId="1869C611" w:rsidR="00526600" w:rsidRDefault="003A0B02" w:rsidP="00D56AF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337" w:type="dxa"/>
          </w:tcPr>
          <w:p w14:paraId="674C3A14" w14:textId="2CE02722" w:rsidR="00526600" w:rsidRDefault="003A0B02" w:rsidP="00D56AF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338" w:type="dxa"/>
          </w:tcPr>
          <w:p w14:paraId="725D03FA" w14:textId="4110998B" w:rsidR="00526600" w:rsidRDefault="000E673B" w:rsidP="00D56AF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338" w:type="dxa"/>
          </w:tcPr>
          <w:p w14:paraId="756E918B" w14:textId="65980078" w:rsidR="00526600" w:rsidRDefault="00492A04" w:rsidP="00D56AF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526600" w14:paraId="14EB3F35" w14:textId="77777777" w:rsidTr="00C0186F">
        <w:tc>
          <w:tcPr>
            <w:tcW w:w="2337" w:type="dxa"/>
            <w:tcBorders>
              <w:bottom w:val="single" w:sz="4" w:space="0" w:color="auto"/>
            </w:tcBorders>
          </w:tcPr>
          <w:p w14:paraId="7BE9AE42" w14:textId="2E4A1C98" w:rsidR="00526600" w:rsidRDefault="003A0B02" w:rsidP="00D56AF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337" w:type="dxa"/>
            <w:tcBorders>
              <w:bottom w:val="single" w:sz="4" w:space="0" w:color="auto"/>
            </w:tcBorders>
          </w:tcPr>
          <w:p w14:paraId="4ECF1EE6" w14:textId="6C37B381" w:rsidR="00526600" w:rsidRDefault="003A0B02" w:rsidP="00D56AF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2338" w:type="dxa"/>
            <w:tcBorders>
              <w:bottom w:val="single" w:sz="4" w:space="0" w:color="auto"/>
            </w:tcBorders>
          </w:tcPr>
          <w:p w14:paraId="7AE14062" w14:textId="74D38427" w:rsidR="00526600" w:rsidRDefault="000E673B" w:rsidP="00D56AF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NA</w:t>
            </w:r>
          </w:p>
        </w:tc>
        <w:tc>
          <w:tcPr>
            <w:tcW w:w="2338" w:type="dxa"/>
            <w:tcBorders>
              <w:bottom w:val="single" w:sz="4" w:space="0" w:color="auto"/>
            </w:tcBorders>
          </w:tcPr>
          <w:p w14:paraId="2E6FDFD8" w14:textId="238E6921" w:rsidR="00526600" w:rsidRDefault="00492A04" w:rsidP="00D56AF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bl>
    <w:p w14:paraId="44ABA9D7" w14:textId="6047A276" w:rsidR="00417BE6" w:rsidRDefault="000E673B" w:rsidP="00D56AFB">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*Subitem 1 </w:t>
      </w:r>
      <w:r w:rsidR="00223C51">
        <w:rPr>
          <w:rFonts w:ascii="Times New Roman" w:eastAsia="Times New Roman" w:hAnsi="Times New Roman" w:cs="Times New Roman"/>
          <w:sz w:val="24"/>
          <w:szCs w:val="24"/>
        </w:rPr>
        <w:t xml:space="preserve">indicates the </w:t>
      </w:r>
      <w:r w:rsidR="0089243A">
        <w:rPr>
          <w:rFonts w:ascii="Times New Roman" w:eastAsia="Times New Roman" w:hAnsi="Times New Roman" w:cs="Times New Roman"/>
          <w:sz w:val="24"/>
          <w:szCs w:val="24"/>
        </w:rPr>
        <w:t xml:space="preserve">categorical nature between 01 and 10, and subitem 2 indicates the ordered relationship </w:t>
      </w:r>
      <w:r w:rsidR="0024396F">
        <w:rPr>
          <w:rFonts w:ascii="Times New Roman" w:eastAsia="Times New Roman" w:hAnsi="Times New Roman" w:cs="Times New Roman"/>
          <w:sz w:val="24"/>
          <w:szCs w:val="24"/>
        </w:rPr>
        <w:t>for the response patterns 11, {10,01}, and 00.</w:t>
      </w:r>
      <w:r w:rsidR="00C0186F">
        <w:rPr>
          <w:rFonts w:ascii="Times New Roman" w:eastAsia="Times New Roman" w:hAnsi="Times New Roman" w:cs="Times New Roman"/>
          <w:sz w:val="24"/>
          <w:szCs w:val="24"/>
        </w:rPr>
        <w:t xml:space="preserve"> Y</w:t>
      </w:r>
      <w:r w:rsidR="00C0186F" w:rsidRPr="004B222F">
        <w:rPr>
          <w:rFonts w:ascii="Times New Roman" w:eastAsia="Times New Roman" w:hAnsi="Times New Roman" w:cs="Times New Roman"/>
          <w:sz w:val="24"/>
          <w:szCs w:val="24"/>
          <w:vertAlign w:val="subscript"/>
        </w:rPr>
        <w:t>1</w:t>
      </w:r>
      <w:r w:rsidR="00C0186F">
        <w:rPr>
          <w:rFonts w:ascii="Times New Roman" w:eastAsia="Times New Roman" w:hAnsi="Times New Roman" w:cs="Times New Roman"/>
          <w:sz w:val="24"/>
          <w:szCs w:val="24"/>
          <w:vertAlign w:val="subscript"/>
        </w:rPr>
        <w:t xml:space="preserve"> and </w:t>
      </w:r>
      <w:r w:rsidR="00C0186F">
        <w:rPr>
          <w:rFonts w:ascii="Times New Roman" w:eastAsia="Times New Roman" w:hAnsi="Times New Roman" w:cs="Times New Roman"/>
          <w:sz w:val="24"/>
          <w:szCs w:val="24"/>
        </w:rPr>
        <w:t>Y</w:t>
      </w:r>
      <w:r w:rsidR="00C0186F">
        <w:rPr>
          <w:rFonts w:ascii="Times New Roman" w:eastAsia="Times New Roman" w:hAnsi="Times New Roman" w:cs="Times New Roman"/>
          <w:sz w:val="24"/>
          <w:szCs w:val="24"/>
          <w:vertAlign w:val="subscript"/>
        </w:rPr>
        <w:t xml:space="preserve">2 </w:t>
      </w:r>
      <w:r w:rsidR="00C0186F" w:rsidRPr="00C0186F">
        <w:rPr>
          <w:rFonts w:ascii="Times New Roman" w:eastAsia="Times New Roman" w:hAnsi="Times New Roman" w:cs="Times New Roman"/>
          <w:sz w:val="24"/>
          <w:szCs w:val="24"/>
        </w:rPr>
        <w:t>represent</w:t>
      </w:r>
      <w:r w:rsidR="00C0186F">
        <w:rPr>
          <w:rFonts w:ascii="Times New Roman" w:eastAsia="Times New Roman" w:hAnsi="Times New Roman" w:cs="Times New Roman"/>
          <w:sz w:val="24"/>
          <w:szCs w:val="24"/>
          <w:vertAlign w:val="subscript"/>
        </w:rPr>
        <w:t xml:space="preserve"> </w:t>
      </w:r>
      <w:r w:rsidR="00C0186F">
        <w:rPr>
          <w:rFonts w:ascii="Times New Roman" w:eastAsia="Times New Roman" w:hAnsi="Times New Roman" w:cs="Times New Roman"/>
          <w:sz w:val="24"/>
          <w:szCs w:val="24"/>
        </w:rPr>
        <w:t xml:space="preserve">the original response, and </w:t>
      </w:r>
      <w:proofErr w:type="spellStart"/>
      <w:r w:rsidR="00C0186F">
        <w:rPr>
          <w:rFonts w:ascii="Times New Roman" w:eastAsia="Times New Roman" w:hAnsi="Times New Roman" w:cs="Times New Roman"/>
          <w:sz w:val="24"/>
          <w:szCs w:val="24"/>
        </w:rPr>
        <w:t>Y</w:t>
      </w:r>
      <w:r w:rsidR="00C0186F" w:rsidRPr="00C0186F">
        <w:rPr>
          <w:rFonts w:ascii="Times New Roman" w:eastAsia="Times New Roman" w:hAnsi="Times New Roman" w:cs="Times New Roman"/>
          <w:sz w:val="24"/>
          <w:szCs w:val="24"/>
          <w:vertAlign w:val="subscript"/>
        </w:rPr>
        <w:t>c</w:t>
      </w:r>
      <w:proofErr w:type="spellEnd"/>
      <w:r w:rsidR="00C0186F">
        <w:rPr>
          <w:rFonts w:ascii="Times New Roman" w:eastAsia="Times New Roman" w:hAnsi="Times New Roman" w:cs="Times New Roman"/>
          <w:sz w:val="24"/>
          <w:szCs w:val="24"/>
          <w:vertAlign w:val="subscript"/>
        </w:rPr>
        <w:t xml:space="preserve"> and </w:t>
      </w:r>
      <w:proofErr w:type="spellStart"/>
      <w:r w:rsidR="00C0186F">
        <w:rPr>
          <w:rFonts w:ascii="Times New Roman" w:eastAsia="Times New Roman" w:hAnsi="Times New Roman" w:cs="Times New Roman"/>
          <w:sz w:val="24"/>
          <w:szCs w:val="24"/>
        </w:rPr>
        <w:t>Y</w:t>
      </w:r>
      <w:r w:rsidR="00C0186F" w:rsidRPr="00C0186F">
        <w:rPr>
          <w:rFonts w:ascii="Times New Roman" w:eastAsia="Times New Roman" w:hAnsi="Times New Roman" w:cs="Times New Roman"/>
          <w:sz w:val="24"/>
          <w:szCs w:val="24"/>
          <w:vertAlign w:val="subscript"/>
        </w:rPr>
        <w:t>c</w:t>
      </w:r>
      <w:proofErr w:type="spellEnd"/>
      <w:r w:rsidR="00C0186F">
        <w:rPr>
          <w:rFonts w:ascii="Times New Roman" w:eastAsia="Times New Roman" w:hAnsi="Times New Roman" w:cs="Times New Roman"/>
          <w:sz w:val="24"/>
          <w:szCs w:val="24"/>
          <w:vertAlign w:val="subscript"/>
        </w:rPr>
        <w:t xml:space="preserve"> </w:t>
      </w:r>
      <w:proofErr w:type="spellStart"/>
      <w:r w:rsidR="00C0186F" w:rsidRPr="00C0186F">
        <w:rPr>
          <w:rFonts w:ascii="Times New Roman" w:eastAsia="Times New Roman" w:hAnsi="Times New Roman" w:cs="Times New Roman"/>
          <w:sz w:val="24"/>
          <w:szCs w:val="24"/>
        </w:rPr>
        <w:t>rpresent</w:t>
      </w:r>
      <w:proofErr w:type="spellEnd"/>
      <w:r w:rsidR="00C0186F" w:rsidRPr="00C0186F">
        <w:rPr>
          <w:rFonts w:ascii="Times New Roman" w:eastAsia="Times New Roman" w:hAnsi="Times New Roman" w:cs="Times New Roman"/>
          <w:sz w:val="24"/>
          <w:szCs w:val="24"/>
        </w:rPr>
        <w:t xml:space="preserve"> the recoded subitems.</w:t>
      </w:r>
      <w:r w:rsidR="00C0186F">
        <w:rPr>
          <w:rFonts w:ascii="Times New Roman" w:eastAsia="Times New Roman" w:hAnsi="Times New Roman" w:cs="Times New Roman"/>
          <w:sz w:val="24"/>
          <w:szCs w:val="24"/>
          <w:vertAlign w:val="subscript"/>
        </w:rPr>
        <w:t xml:space="preserve"> </w:t>
      </w:r>
    </w:p>
    <w:p w14:paraId="6855F8A7" w14:textId="10D8572E" w:rsidR="00F553CF" w:rsidRPr="00417BE6" w:rsidRDefault="00417BE6" w:rsidP="00D56AFB">
      <w:pPr>
        <w:spacing w:after="0" w:line="480" w:lineRule="auto"/>
        <w:jc w:val="center"/>
        <w:rPr>
          <w:rFonts w:ascii="Times New Roman" w:eastAsia="Times New Roman" w:hAnsi="Times New Roman" w:cs="Times New Roman"/>
          <w:b/>
          <w:bCs/>
          <w:sz w:val="24"/>
          <w:szCs w:val="24"/>
        </w:rPr>
      </w:pPr>
      <w:r w:rsidRPr="00417BE6">
        <w:rPr>
          <w:rFonts w:ascii="Times New Roman" w:eastAsia="Times New Roman" w:hAnsi="Times New Roman" w:cs="Times New Roman"/>
          <w:b/>
          <w:bCs/>
          <w:sz w:val="24"/>
          <w:szCs w:val="24"/>
        </w:rPr>
        <w:t>Result</w:t>
      </w:r>
    </w:p>
    <w:p w14:paraId="632695D8" w14:textId="377A2BD9" w:rsidR="00FD107E" w:rsidRPr="00417BE6" w:rsidRDefault="00FD107E" w:rsidP="00D56AFB">
      <w:pPr>
        <w:spacing w:after="0" w:line="480" w:lineRule="auto"/>
        <w:rPr>
          <w:rFonts w:ascii="Times New Roman" w:eastAsia="Times New Roman" w:hAnsi="Times New Roman" w:cs="Times New Roman"/>
          <w:b/>
          <w:bCs/>
          <w:sz w:val="24"/>
          <w:szCs w:val="24"/>
        </w:rPr>
      </w:pPr>
      <w:r w:rsidRPr="00417BE6">
        <w:rPr>
          <w:rFonts w:ascii="Times New Roman" w:eastAsia="Times New Roman" w:hAnsi="Times New Roman" w:cs="Times New Roman"/>
          <w:b/>
          <w:bCs/>
          <w:sz w:val="24"/>
          <w:szCs w:val="24"/>
        </w:rPr>
        <w:t xml:space="preserve">Exploratory </w:t>
      </w:r>
      <w:r w:rsidR="00417BE6">
        <w:rPr>
          <w:rFonts w:ascii="Times New Roman" w:eastAsia="Times New Roman" w:hAnsi="Times New Roman" w:cs="Times New Roman"/>
          <w:b/>
          <w:bCs/>
          <w:sz w:val="24"/>
          <w:szCs w:val="24"/>
        </w:rPr>
        <w:t>A</w:t>
      </w:r>
      <w:r w:rsidRPr="00417BE6">
        <w:rPr>
          <w:rFonts w:ascii="Times New Roman" w:eastAsia="Times New Roman" w:hAnsi="Times New Roman" w:cs="Times New Roman"/>
          <w:b/>
          <w:bCs/>
          <w:sz w:val="24"/>
          <w:szCs w:val="24"/>
        </w:rPr>
        <w:t>nalysis 1</w:t>
      </w:r>
    </w:p>
    <w:p w14:paraId="57065C36" w14:textId="5B2586BE" w:rsidR="006C41F6" w:rsidRDefault="006C41F6" w:rsidP="00D56AFB">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 analyzed </w:t>
      </w:r>
      <w:r w:rsidR="00ED36FE">
        <w:rPr>
          <w:rFonts w:ascii="Times New Roman" w:eastAsia="Times New Roman" w:hAnsi="Times New Roman" w:cs="Times New Roman"/>
          <w:sz w:val="24"/>
          <w:szCs w:val="24"/>
        </w:rPr>
        <w:t xml:space="preserve">the BDI </w:t>
      </w:r>
      <w:r w:rsidR="0084463B">
        <w:rPr>
          <w:rFonts w:ascii="Times New Roman" w:eastAsia="Times New Roman" w:hAnsi="Times New Roman" w:cs="Times New Roman"/>
          <w:sz w:val="24"/>
          <w:szCs w:val="24"/>
        </w:rPr>
        <w:t xml:space="preserve">data </w:t>
      </w:r>
      <w:r w:rsidR="007A35C6">
        <w:rPr>
          <w:rFonts w:ascii="Times New Roman" w:eastAsia="Times New Roman" w:hAnsi="Times New Roman" w:cs="Times New Roman"/>
          <w:sz w:val="24"/>
          <w:szCs w:val="24"/>
        </w:rPr>
        <w:t xml:space="preserve">using both the graded response model (GRM) IRT model and the </w:t>
      </w:r>
      <w:proofErr w:type="spellStart"/>
      <w:r w:rsidR="007A35C6">
        <w:rPr>
          <w:rFonts w:ascii="Times New Roman" w:eastAsia="Times New Roman" w:hAnsi="Times New Roman" w:cs="Times New Roman"/>
          <w:sz w:val="24"/>
          <w:szCs w:val="24"/>
        </w:rPr>
        <w:t>poset</w:t>
      </w:r>
      <w:proofErr w:type="spellEnd"/>
      <w:r w:rsidR="007A35C6">
        <w:rPr>
          <w:rFonts w:ascii="Times New Roman" w:eastAsia="Times New Roman" w:hAnsi="Times New Roman" w:cs="Times New Roman"/>
          <w:sz w:val="24"/>
          <w:szCs w:val="24"/>
        </w:rPr>
        <w:t xml:space="preserve"> IRT model. </w:t>
      </w:r>
      <w:r w:rsidR="005D0989">
        <w:rPr>
          <w:rFonts w:ascii="Times New Roman" w:eastAsia="Times New Roman" w:hAnsi="Times New Roman" w:cs="Times New Roman"/>
          <w:sz w:val="24"/>
          <w:szCs w:val="24"/>
        </w:rPr>
        <w:t>We treat</w:t>
      </w:r>
      <w:r w:rsidR="001610AB">
        <w:rPr>
          <w:rFonts w:ascii="Times New Roman" w:eastAsia="Times New Roman" w:hAnsi="Times New Roman" w:cs="Times New Roman"/>
          <w:sz w:val="24"/>
          <w:szCs w:val="24"/>
        </w:rPr>
        <w:t>ed 0 as forming its own category</w:t>
      </w:r>
      <w:r w:rsidR="00462A09">
        <w:rPr>
          <w:rFonts w:ascii="Times New Roman" w:eastAsia="Times New Roman" w:hAnsi="Times New Roman" w:cs="Times New Roman"/>
          <w:sz w:val="24"/>
          <w:szCs w:val="24"/>
        </w:rPr>
        <w:t xml:space="preserve"> </w:t>
      </w:r>
      <w:r w:rsidR="001610AB">
        <w:rPr>
          <w:rFonts w:ascii="Times New Roman" w:eastAsia="Times New Roman" w:hAnsi="Times New Roman" w:cs="Times New Roman"/>
          <w:sz w:val="24"/>
          <w:szCs w:val="24"/>
        </w:rPr>
        <w:t xml:space="preserve">and the others as ordinal categories. </w:t>
      </w:r>
      <w:r w:rsidR="00DF649B">
        <w:rPr>
          <w:rFonts w:ascii="Times New Roman" w:eastAsia="Times New Roman" w:hAnsi="Times New Roman" w:cs="Times New Roman"/>
          <w:sz w:val="24"/>
          <w:szCs w:val="24"/>
        </w:rPr>
        <w:t xml:space="preserve">Consequently, </w:t>
      </w:r>
      <w:r w:rsidR="00462A09">
        <w:rPr>
          <w:rFonts w:ascii="Times New Roman" w:eastAsia="Times New Roman" w:hAnsi="Times New Roman" w:cs="Times New Roman"/>
          <w:sz w:val="24"/>
          <w:szCs w:val="24"/>
        </w:rPr>
        <w:t xml:space="preserve">there were two subitems </w:t>
      </w:r>
      <w:r w:rsidR="00B5775C">
        <w:rPr>
          <w:rFonts w:ascii="Times New Roman" w:eastAsia="Times New Roman" w:hAnsi="Times New Roman" w:cs="Times New Roman"/>
          <w:sz w:val="24"/>
          <w:szCs w:val="24"/>
        </w:rPr>
        <w:t xml:space="preserve">– one binary </w:t>
      </w:r>
      <w:r w:rsidR="00B5775C" w:rsidRPr="00B5775C">
        <w:rPr>
          <w:rFonts w:ascii="Times New Roman" w:eastAsia="Times New Roman" w:hAnsi="Times New Roman" w:cs="Times New Roman"/>
          <w:sz w:val="24"/>
          <w:szCs w:val="24"/>
        </w:rPr>
        <w:t xml:space="preserve">(0 vs others), </w:t>
      </w:r>
      <w:r w:rsidR="00B5775C">
        <w:rPr>
          <w:rFonts w:ascii="Times New Roman" w:eastAsia="Times New Roman" w:hAnsi="Times New Roman" w:cs="Times New Roman"/>
          <w:sz w:val="24"/>
          <w:szCs w:val="24"/>
        </w:rPr>
        <w:t>and the other ordinal (1,2, and 3). T</w:t>
      </w:r>
      <w:r w:rsidR="00DF649B">
        <w:rPr>
          <w:rFonts w:ascii="Times New Roman" w:eastAsia="Times New Roman" w:hAnsi="Times New Roman" w:cs="Times New Roman"/>
          <w:sz w:val="24"/>
          <w:szCs w:val="24"/>
        </w:rPr>
        <w:t>he</w:t>
      </w:r>
      <w:r w:rsidR="00A46087">
        <w:rPr>
          <w:rFonts w:ascii="Times New Roman" w:eastAsia="Times New Roman" w:hAnsi="Times New Roman" w:cs="Times New Roman"/>
          <w:sz w:val="24"/>
          <w:szCs w:val="24"/>
        </w:rPr>
        <w:t xml:space="preserve"> two-parameter (2PL) logistic model</w:t>
      </w:r>
      <w:r w:rsidR="00DF649B">
        <w:rPr>
          <w:rFonts w:ascii="Times New Roman" w:eastAsia="Times New Roman" w:hAnsi="Times New Roman" w:cs="Times New Roman"/>
          <w:sz w:val="24"/>
          <w:szCs w:val="24"/>
        </w:rPr>
        <w:t xml:space="preserve"> IRT model</w:t>
      </w:r>
      <w:r w:rsidR="00A46087">
        <w:rPr>
          <w:rFonts w:ascii="Times New Roman" w:eastAsia="Times New Roman" w:hAnsi="Times New Roman" w:cs="Times New Roman"/>
          <w:sz w:val="24"/>
          <w:szCs w:val="24"/>
        </w:rPr>
        <w:t xml:space="preserve"> was used</w:t>
      </w:r>
      <w:r w:rsidR="00DF649B">
        <w:rPr>
          <w:rFonts w:ascii="Times New Roman" w:eastAsia="Times New Roman" w:hAnsi="Times New Roman" w:cs="Times New Roman"/>
          <w:sz w:val="24"/>
          <w:szCs w:val="24"/>
        </w:rPr>
        <w:t xml:space="preserve"> for the binary outcome </w:t>
      </w:r>
      <w:r w:rsidR="00A46087">
        <w:rPr>
          <w:rFonts w:ascii="Times New Roman" w:eastAsia="Times New Roman" w:hAnsi="Times New Roman" w:cs="Times New Roman"/>
          <w:sz w:val="24"/>
          <w:szCs w:val="24"/>
        </w:rPr>
        <w:t xml:space="preserve">and </w:t>
      </w:r>
      <w:r w:rsidR="00243DF4">
        <w:rPr>
          <w:rFonts w:ascii="Times New Roman" w:eastAsia="Times New Roman" w:hAnsi="Times New Roman" w:cs="Times New Roman"/>
          <w:sz w:val="24"/>
          <w:szCs w:val="24"/>
        </w:rPr>
        <w:t>GRM was used for the ordered outcome.</w:t>
      </w:r>
      <w:r w:rsidR="00DF649B">
        <w:rPr>
          <w:rFonts w:ascii="Times New Roman" w:eastAsia="Times New Roman" w:hAnsi="Times New Roman" w:cs="Times New Roman"/>
          <w:sz w:val="24"/>
          <w:szCs w:val="24"/>
        </w:rPr>
        <w:t xml:space="preserve"> </w:t>
      </w:r>
      <w:r w:rsidR="00B5775C">
        <w:rPr>
          <w:rFonts w:ascii="Times New Roman" w:eastAsia="Times New Roman" w:hAnsi="Times New Roman" w:cs="Times New Roman"/>
          <w:sz w:val="24"/>
          <w:szCs w:val="24"/>
        </w:rPr>
        <w:t>Table 2 summarizes t</w:t>
      </w:r>
      <w:r w:rsidR="00406F10">
        <w:rPr>
          <w:rFonts w:ascii="Times New Roman" w:eastAsia="Times New Roman" w:hAnsi="Times New Roman" w:cs="Times New Roman"/>
          <w:sz w:val="24"/>
          <w:szCs w:val="24"/>
        </w:rPr>
        <w:t xml:space="preserve">he slope parameters for both </w:t>
      </w:r>
      <w:r w:rsidR="00B5775C">
        <w:rPr>
          <w:rFonts w:ascii="Times New Roman" w:eastAsia="Times New Roman" w:hAnsi="Times New Roman" w:cs="Times New Roman"/>
          <w:sz w:val="24"/>
          <w:szCs w:val="24"/>
        </w:rPr>
        <w:t xml:space="preserve">the GRM and the </w:t>
      </w:r>
      <w:proofErr w:type="spellStart"/>
      <w:r w:rsidR="00B5775C">
        <w:rPr>
          <w:rFonts w:ascii="Times New Roman" w:eastAsia="Times New Roman" w:hAnsi="Times New Roman" w:cs="Times New Roman"/>
          <w:sz w:val="24"/>
          <w:szCs w:val="24"/>
        </w:rPr>
        <w:t>poset</w:t>
      </w:r>
      <w:proofErr w:type="spellEnd"/>
      <w:r w:rsidR="00B5775C">
        <w:rPr>
          <w:rFonts w:ascii="Times New Roman" w:eastAsia="Times New Roman" w:hAnsi="Times New Roman" w:cs="Times New Roman"/>
          <w:sz w:val="24"/>
          <w:szCs w:val="24"/>
        </w:rPr>
        <w:t xml:space="preserve"> </w:t>
      </w:r>
      <w:r w:rsidR="00406F10">
        <w:rPr>
          <w:rFonts w:ascii="Times New Roman" w:eastAsia="Times New Roman" w:hAnsi="Times New Roman" w:cs="Times New Roman"/>
          <w:sz w:val="24"/>
          <w:szCs w:val="24"/>
        </w:rPr>
        <w:t>models</w:t>
      </w:r>
      <w:r w:rsidR="005D0989">
        <w:rPr>
          <w:rFonts w:ascii="Times New Roman" w:eastAsia="Times New Roman" w:hAnsi="Times New Roman" w:cs="Times New Roman"/>
          <w:sz w:val="24"/>
          <w:szCs w:val="24"/>
        </w:rPr>
        <w:t xml:space="preserve">. </w:t>
      </w:r>
    </w:p>
    <w:p w14:paraId="0D7CEBCF" w14:textId="77777777" w:rsidR="00D50EBE" w:rsidRDefault="00D50EBE" w:rsidP="00D56AFB">
      <w:pPr>
        <w:spacing w:after="0" w:line="480" w:lineRule="auto"/>
        <w:rPr>
          <w:rFonts w:ascii="Times New Roman" w:eastAsia="Times New Roman" w:hAnsi="Times New Roman" w:cs="Times New Roman"/>
          <w:sz w:val="24"/>
          <w:szCs w:val="24"/>
        </w:rPr>
      </w:pPr>
    </w:p>
    <w:p w14:paraId="1FB21994" w14:textId="77777777" w:rsidR="00D50EBE" w:rsidRDefault="00D50EBE" w:rsidP="00D56AFB">
      <w:pPr>
        <w:spacing w:after="0" w:line="480" w:lineRule="auto"/>
        <w:rPr>
          <w:rFonts w:ascii="Times New Roman" w:eastAsia="Times New Roman" w:hAnsi="Times New Roman" w:cs="Times New Roman"/>
          <w:sz w:val="24"/>
          <w:szCs w:val="24"/>
        </w:rPr>
      </w:pPr>
    </w:p>
    <w:p w14:paraId="2D103C10" w14:textId="77777777" w:rsidR="00D50EBE" w:rsidRDefault="00D50EBE" w:rsidP="00D56AFB">
      <w:pPr>
        <w:spacing w:after="0" w:line="480" w:lineRule="auto"/>
        <w:rPr>
          <w:rFonts w:ascii="Times New Roman" w:eastAsia="Times New Roman" w:hAnsi="Times New Roman" w:cs="Times New Roman"/>
          <w:sz w:val="24"/>
          <w:szCs w:val="24"/>
        </w:rPr>
      </w:pPr>
    </w:p>
    <w:p w14:paraId="2E60471B" w14:textId="77777777" w:rsidR="00D50EBE" w:rsidRDefault="00D50EBE" w:rsidP="00D56AFB">
      <w:pPr>
        <w:spacing w:after="0" w:line="480" w:lineRule="auto"/>
        <w:rPr>
          <w:rFonts w:ascii="Times New Roman" w:eastAsia="Times New Roman" w:hAnsi="Times New Roman" w:cs="Times New Roman"/>
          <w:sz w:val="24"/>
          <w:szCs w:val="24"/>
        </w:rPr>
      </w:pPr>
    </w:p>
    <w:p w14:paraId="69CDDC06" w14:textId="77777777" w:rsidR="00D50EBE" w:rsidRDefault="00D50EBE" w:rsidP="00D56AFB">
      <w:pPr>
        <w:spacing w:after="0" w:line="480" w:lineRule="auto"/>
        <w:rPr>
          <w:rFonts w:ascii="Times New Roman" w:eastAsia="Times New Roman" w:hAnsi="Times New Roman" w:cs="Times New Roman"/>
          <w:sz w:val="24"/>
          <w:szCs w:val="24"/>
        </w:rPr>
      </w:pPr>
    </w:p>
    <w:p w14:paraId="00BBE39B" w14:textId="0B16CD7A" w:rsidR="00D50EBE" w:rsidRDefault="00171588" w:rsidP="00D56AFB">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Table 2. Discrimination parameters </w:t>
      </w:r>
      <w:r w:rsidR="008361C3">
        <w:rPr>
          <w:rFonts w:ascii="Times New Roman" w:eastAsia="Times New Roman" w:hAnsi="Times New Roman" w:cs="Times New Roman"/>
          <w:sz w:val="24"/>
          <w:szCs w:val="24"/>
        </w:rPr>
        <w:t xml:space="preserve">for BDI items using GRM and </w:t>
      </w:r>
      <w:proofErr w:type="spellStart"/>
      <w:r w:rsidR="008361C3">
        <w:rPr>
          <w:rFonts w:ascii="Times New Roman" w:eastAsia="Times New Roman" w:hAnsi="Times New Roman" w:cs="Times New Roman"/>
          <w:sz w:val="24"/>
          <w:szCs w:val="24"/>
        </w:rPr>
        <w:t>poset</w:t>
      </w:r>
      <w:proofErr w:type="spellEnd"/>
      <w:r w:rsidR="008361C3">
        <w:rPr>
          <w:rFonts w:ascii="Times New Roman" w:eastAsia="Times New Roman" w:hAnsi="Times New Roman" w:cs="Times New Roman"/>
          <w:sz w:val="24"/>
          <w:szCs w:val="24"/>
        </w:rPr>
        <w:t xml:space="preserve"> for the entire sample (left panel) and using only the restricted sample (right panel).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4"/>
        <w:gridCol w:w="960"/>
        <w:gridCol w:w="891"/>
        <w:gridCol w:w="960"/>
        <w:gridCol w:w="960"/>
        <w:gridCol w:w="891"/>
        <w:gridCol w:w="891"/>
        <w:gridCol w:w="891"/>
        <w:gridCol w:w="891"/>
        <w:gridCol w:w="891"/>
      </w:tblGrid>
      <w:tr w:rsidR="00DE2D34" w:rsidRPr="001037CC" w14:paraId="03BAD20F" w14:textId="77777777" w:rsidTr="00C27A12">
        <w:trPr>
          <w:trHeight w:val="288"/>
        </w:trPr>
        <w:tc>
          <w:tcPr>
            <w:tcW w:w="1124" w:type="dxa"/>
            <w:tcBorders>
              <w:top w:val="single" w:sz="4" w:space="0" w:color="auto"/>
              <w:bottom w:val="single" w:sz="4" w:space="0" w:color="auto"/>
            </w:tcBorders>
            <w:noWrap/>
          </w:tcPr>
          <w:p w14:paraId="772C3BF5" w14:textId="77777777" w:rsidR="00DE2D34" w:rsidRDefault="00DE2D34" w:rsidP="00D56AFB">
            <w:pPr>
              <w:spacing w:line="480" w:lineRule="auto"/>
              <w:rPr>
                <w:rFonts w:ascii="Times New Roman" w:eastAsia="Times New Roman" w:hAnsi="Times New Roman" w:cs="Times New Roman"/>
                <w:sz w:val="24"/>
                <w:szCs w:val="24"/>
              </w:rPr>
            </w:pPr>
          </w:p>
        </w:tc>
        <w:tc>
          <w:tcPr>
            <w:tcW w:w="3771" w:type="dxa"/>
            <w:gridSpan w:val="4"/>
            <w:tcBorders>
              <w:top w:val="single" w:sz="4" w:space="0" w:color="auto"/>
              <w:bottom w:val="single" w:sz="4" w:space="0" w:color="auto"/>
            </w:tcBorders>
            <w:noWrap/>
          </w:tcPr>
          <w:p w14:paraId="3142369A" w14:textId="4E2FDDEB" w:rsidR="00DE2D34" w:rsidRPr="001037CC" w:rsidRDefault="000D2377" w:rsidP="00D56AFB">
            <w:pPr>
              <w:spacing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Entire Sample</w:t>
            </w:r>
          </w:p>
        </w:tc>
        <w:tc>
          <w:tcPr>
            <w:tcW w:w="891" w:type="dxa"/>
            <w:tcBorders>
              <w:top w:val="single" w:sz="4" w:space="0" w:color="auto"/>
              <w:bottom w:val="single" w:sz="4" w:space="0" w:color="auto"/>
            </w:tcBorders>
          </w:tcPr>
          <w:p w14:paraId="54357A40" w14:textId="77777777" w:rsidR="00DE2D34" w:rsidRPr="001037CC" w:rsidRDefault="00DE2D34" w:rsidP="00D56AFB">
            <w:pPr>
              <w:spacing w:line="480" w:lineRule="auto"/>
              <w:rPr>
                <w:rFonts w:ascii="Times New Roman" w:eastAsia="Times New Roman" w:hAnsi="Times New Roman" w:cs="Times New Roman"/>
                <w:sz w:val="24"/>
                <w:szCs w:val="24"/>
              </w:rPr>
            </w:pPr>
          </w:p>
        </w:tc>
        <w:tc>
          <w:tcPr>
            <w:tcW w:w="3564" w:type="dxa"/>
            <w:gridSpan w:val="4"/>
            <w:tcBorders>
              <w:top w:val="single" w:sz="4" w:space="0" w:color="auto"/>
              <w:bottom w:val="single" w:sz="4" w:space="0" w:color="auto"/>
            </w:tcBorders>
          </w:tcPr>
          <w:p w14:paraId="11E47074" w14:textId="531DC831" w:rsidR="00DE2D34" w:rsidRDefault="000D2377" w:rsidP="00D56AFB">
            <w:pPr>
              <w:spacing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Restricted Sample</w:t>
            </w:r>
          </w:p>
        </w:tc>
      </w:tr>
      <w:tr w:rsidR="00D36934" w:rsidRPr="001037CC" w14:paraId="40265D6E" w14:textId="5E14B818" w:rsidTr="00C27A12">
        <w:trPr>
          <w:trHeight w:val="288"/>
        </w:trPr>
        <w:tc>
          <w:tcPr>
            <w:tcW w:w="1124" w:type="dxa"/>
            <w:tcBorders>
              <w:top w:val="single" w:sz="4" w:space="0" w:color="auto"/>
              <w:bottom w:val="single" w:sz="4" w:space="0" w:color="auto"/>
            </w:tcBorders>
            <w:noWrap/>
            <w:hideMark/>
          </w:tcPr>
          <w:p w14:paraId="43C2244F" w14:textId="77777777" w:rsidR="00D36934" w:rsidRPr="001037CC" w:rsidRDefault="00D36934" w:rsidP="00D56AF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BDI item</w:t>
            </w:r>
          </w:p>
        </w:tc>
        <w:tc>
          <w:tcPr>
            <w:tcW w:w="960" w:type="dxa"/>
            <w:tcBorders>
              <w:top w:val="single" w:sz="4" w:space="0" w:color="auto"/>
              <w:bottom w:val="single" w:sz="4" w:space="0" w:color="auto"/>
            </w:tcBorders>
            <w:noWrap/>
            <w:hideMark/>
          </w:tcPr>
          <w:p w14:paraId="09F7C2BE" w14:textId="77777777" w:rsidR="00D36934" w:rsidRPr="001037CC" w:rsidRDefault="00D3693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GRM</w:t>
            </w:r>
          </w:p>
        </w:tc>
        <w:tc>
          <w:tcPr>
            <w:tcW w:w="891" w:type="dxa"/>
            <w:tcBorders>
              <w:top w:val="single" w:sz="4" w:space="0" w:color="auto"/>
              <w:bottom w:val="single" w:sz="4" w:space="0" w:color="auto"/>
            </w:tcBorders>
          </w:tcPr>
          <w:p w14:paraId="0CF3BC51" w14:textId="77777777" w:rsidR="00D36934" w:rsidRPr="001037CC" w:rsidRDefault="00D36934" w:rsidP="00D56AFB">
            <w:pPr>
              <w:spacing w:line="480" w:lineRule="auto"/>
              <w:rPr>
                <w:rFonts w:ascii="Times New Roman" w:eastAsia="Times New Roman" w:hAnsi="Times New Roman" w:cs="Times New Roman"/>
                <w:sz w:val="24"/>
                <w:szCs w:val="24"/>
              </w:rPr>
            </w:pPr>
          </w:p>
        </w:tc>
        <w:tc>
          <w:tcPr>
            <w:tcW w:w="960" w:type="dxa"/>
            <w:tcBorders>
              <w:top w:val="single" w:sz="4" w:space="0" w:color="auto"/>
              <w:bottom w:val="single" w:sz="4" w:space="0" w:color="auto"/>
            </w:tcBorders>
            <w:noWrap/>
            <w:hideMark/>
          </w:tcPr>
          <w:p w14:paraId="00F6B6EA" w14:textId="60F75E91" w:rsidR="00D36934" w:rsidRPr="001037CC" w:rsidRDefault="00D36934" w:rsidP="00D56AFB">
            <w:pPr>
              <w:spacing w:line="480" w:lineRule="auto"/>
              <w:rPr>
                <w:rFonts w:ascii="Times New Roman" w:eastAsia="Times New Roman" w:hAnsi="Times New Roman" w:cs="Times New Roman"/>
                <w:sz w:val="24"/>
                <w:szCs w:val="24"/>
              </w:rPr>
            </w:pPr>
            <w:proofErr w:type="spellStart"/>
            <w:r w:rsidRPr="001037CC">
              <w:rPr>
                <w:rFonts w:ascii="Times New Roman" w:eastAsia="Times New Roman" w:hAnsi="Times New Roman" w:cs="Times New Roman"/>
                <w:sz w:val="24"/>
                <w:szCs w:val="24"/>
              </w:rPr>
              <w:t>poset</w:t>
            </w:r>
            <w:proofErr w:type="spellEnd"/>
            <w:r w:rsidRPr="001037C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2PL</w:t>
            </w:r>
          </w:p>
        </w:tc>
        <w:tc>
          <w:tcPr>
            <w:tcW w:w="960" w:type="dxa"/>
            <w:tcBorders>
              <w:top w:val="single" w:sz="4" w:space="0" w:color="auto"/>
              <w:bottom w:val="single" w:sz="4" w:space="0" w:color="auto"/>
            </w:tcBorders>
            <w:noWrap/>
            <w:hideMark/>
          </w:tcPr>
          <w:p w14:paraId="13D3D1DA" w14:textId="77777777" w:rsidR="00D36934" w:rsidRPr="001037CC" w:rsidRDefault="00D36934" w:rsidP="00D56AFB">
            <w:pPr>
              <w:spacing w:line="480" w:lineRule="auto"/>
              <w:rPr>
                <w:rFonts w:ascii="Times New Roman" w:eastAsia="Times New Roman" w:hAnsi="Times New Roman" w:cs="Times New Roman"/>
                <w:sz w:val="24"/>
                <w:szCs w:val="24"/>
              </w:rPr>
            </w:pPr>
            <w:proofErr w:type="spellStart"/>
            <w:r w:rsidRPr="001037CC">
              <w:rPr>
                <w:rFonts w:ascii="Times New Roman" w:eastAsia="Times New Roman" w:hAnsi="Times New Roman" w:cs="Times New Roman"/>
                <w:sz w:val="24"/>
                <w:szCs w:val="24"/>
              </w:rPr>
              <w:t>poset</w:t>
            </w:r>
            <w:proofErr w:type="spellEnd"/>
            <w:r w:rsidRPr="001037CC">
              <w:rPr>
                <w:rFonts w:ascii="Times New Roman" w:eastAsia="Times New Roman" w:hAnsi="Times New Roman" w:cs="Times New Roman"/>
                <w:sz w:val="24"/>
                <w:szCs w:val="24"/>
              </w:rPr>
              <w:t xml:space="preserve"> GRM</w:t>
            </w:r>
          </w:p>
        </w:tc>
        <w:tc>
          <w:tcPr>
            <w:tcW w:w="891" w:type="dxa"/>
            <w:tcBorders>
              <w:top w:val="single" w:sz="4" w:space="0" w:color="auto"/>
              <w:bottom w:val="single" w:sz="4" w:space="0" w:color="auto"/>
            </w:tcBorders>
          </w:tcPr>
          <w:p w14:paraId="27E2D190" w14:textId="77777777" w:rsidR="00D36934" w:rsidRPr="001037CC" w:rsidRDefault="00D36934" w:rsidP="00D56AFB">
            <w:pPr>
              <w:spacing w:line="480" w:lineRule="auto"/>
              <w:rPr>
                <w:rFonts w:ascii="Times New Roman" w:eastAsia="Times New Roman" w:hAnsi="Times New Roman" w:cs="Times New Roman"/>
                <w:sz w:val="24"/>
                <w:szCs w:val="24"/>
              </w:rPr>
            </w:pPr>
          </w:p>
        </w:tc>
        <w:tc>
          <w:tcPr>
            <w:tcW w:w="891" w:type="dxa"/>
            <w:tcBorders>
              <w:top w:val="single" w:sz="4" w:space="0" w:color="auto"/>
              <w:bottom w:val="single" w:sz="4" w:space="0" w:color="auto"/>
            </w:tcBorders>
          </w:tcPr>
          <w:p w14:paraId="64394020" w14:textId="211169E5" w:rsidR="00D36934" w:rsidRPr="001037CC" w:rsidRDefault="00D50EBE" w:rsidP="00D56AF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GRM</w:t>
            </w:r>
          </w:p>
        </w:tc>
        <w:tc>
          <w:tcPr>
            <w:tcW w:w="891" w:type="dxa"/>
            <w:tcBorders>
              <w:top w:val="single" w:sz="4" w:space="0" w:color="auto"/>
              <w:bottom w:val="single" w:sz="4" w:space="0" w:color="auto"/>
            </w:tcBorders>
          </w:tcPr>
          <w:p w14:paraId="4FC3364B" w14:textId="77777777" w:rsidR="00D36934" w:rsidRPr="001037CC" w:rsidRDefault="00D36934" w:rsidP="00D56AFB">
            <w:pPr>
              <w:spacing w:line="480" w:lineRule="auto"/>
              <w:rPr>
                <w:rFonts w:ascii="Times New Roman" w:eastAsia="Times New Roman" w:hAnsi="Times New Roman" w:cs="Times New Roman"/>
                <w:sz w:val="24"/>
                <w:szCs w:val="24"/>
              </w:rPr>
            </w:pPr>
          </w:p>
        </w:tc>
        <w:tc>
          <w:tcPr>
            <w:tcW w:w="891" w:type="dxa"/>
            <w:tcBorders>
              <w:top w:val="single" w:sz="4" w:space="0" w:color="auto"/>
              <w:bottom w:val="single" w:sz="4" w:space="0" w:color="auto"/>
            </w:tcBorders>
          </w:tcPr>
          <w:p w14:paraId="433669D3" w14:textId="6D9E889A" w:rsidR="00D50EBE" w:rsidRPr="001037CC" w:rsidRDefault="00D50EBE" w:rsidP="00D56AF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Poset</w:t>
            </w:r>
            <w:r>
              <w:rPr>
                <w:rFonts w:ascii="Times New Roman" w:eastAsia="Times New Roman" w:hAnsi="Times New Roman" w:cs="Times New Roman"/>
                <w:sz w:val="24"/>
                <w:szCs w:val="24"/>
              </w:rPr>
              <w:br/>
              <w:t>2PL</w:t>
            </w:r>
          </w:p>
        </w:tc>
        <w:tc>
          <w:tcPr>
            <w:tcW w:w="891" w:type="dxa"/>
            <w:tcBorders>
              <w:top w:val="single" w:sz="4" w:space="0" w:color="auto"/>
              <w:bottom w:val="single" w:sz="4" w:space="0" w:color="auto"/>
            </w:tcBorders>
          </w:tcPr>
          <w:p w14:paraId="5BE74982" w14:textId="78986A28" w:rsidR="00D36934" w:rsidRPr="001037CC" w:rsidRDefault="00D50EBE" w:rsidP="00D56AF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Poset</w:t>
            </w:r>
            <w:r>
              <w:rPr>
                <w:rFonts w:ascii="Times New Roman" w:eastAsia="Times New Roman" w:hAnsi="Times New Roman" w:cs="Times New Roman"/>
                <w:sz w:val="24"/>
                <w:szCs w:val="24"/>
              </w:rPr>
              <w:br/>
              <w:t>GRM</w:t>
            </w:r>
          </w:p>
        </w:tc>
      </w:tr>
      <w:tr w:rsidR="004F33EC" w:rsidRPr="001037CC" w14:paraId="3D0D8F4F" w14:textId="4DA2058E" w:rsidTr="00C27A12">
        <w:trPr>
          <w:trHeight w:val="68"/>
        </w:trPr>
        <w:tc>
          <w:tcPr>
            <w:tcW w:w="1124" w:type="dxa"/>
            <w:tcBorders>
              <w:top w:val="single" w:sz="4" w:space="0" w:color="auto"/>
              <w:bottom w:val="single" w:sz="4" w:space="0" w:color="auto"/>
            </w:tcBorders>
            <w:noWrap/>
            <w:hideMark/>
          </w:tcPr>
          <w:p w14:paraId="1ADB2403" w14:textId="77777777" w:rsidR="004F33EC" w:rsidRPr="001037CC" w:rsidRDefault="004F33EC" w:rsidP="00D56AFB">
            <w:pPr>
              <w:spacing w:line="480" w:lineRule="auto"/>
              <w:rPr>
                <w:rFonts w:ascii="Times New Roman" w:eastAsia="Times New Roman" w:hAnsi="Times New Roman" w:cs="Times New Roman"/>
                <w:sz w:val="24"/>
                <w:szCs w:val="24"/>
              </w:rPr>
            </w:pPr>
          </w:p>
        </w:tc>
        <w:tc>
          <w:tcPr>
            <w:tcW w:w="960" w:type="dxa"/>
            <w:tcBorders>
              <w:top w:val="single" w:sz="4" w:space="0" w:color="auto"/>
              <w:bottom w:val="single" w:sz="4" w:space="0" w:color="auto"/>
            </w:tcBorders>
            <w:noWrap/>
            <w:hideMark/>
          </w:tcPr>
          <w:p w14:paraId="64013731" w14:textId="514C4830" w:rsidR="004F33EC" w:rsidRPr="001037CC" w:rsidRDefault="004F33EC"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a</w:t>
            </w:r>
          </w:p>
        </w:tc>
        <w:tc>
          <w:tcPr>
            <w:tcW w:w="891" w:type="dxa"/>
            <w:tcBorders>
              <w:top w:val="single" w:sz="4" w:space="0" w:color="auto"/>
              <w:bottom w:val="single" w:sz="4" w:space="0" w:color="auto"/>
            </w:tcBorders>
          </w:tcPr>
          <w:p w14:paraId="54F1C130" w14:textId="77777777" w:rsidR="004F33EC" w:rsidRDefault="004F33EC" w:rsidP="00D56AFB">
            <w:pPr>
              <w:spacing w:line="480" w:lineRule="auto"/>
              <w:rPr>
                <w:rFonts w:ascii="Times New Roman" w:eastAsia="Times New Roman" w:hAnsi="Times New Roman" w:cs="Times New Roman"/>
                <w:sz w:val="24"/>
                <w:szCs w:val="24"/>
              </w:rPr>
            </w:pPr>
          </w:p>
        </w:tc>
        <w:tc>
          <w:tcPr>
            <w:tcW w:w="960" w:type="dxa"/>
            <w:tcBorders>
              <w:top w:val="single" w:sz="4" w:space="0" w:color="auto"/>
              <w:bottom w:val="single" w:sz="4" w:space="0" w:color="auto"/>
            </w:tcBorders>
            <w:noWrap/>
            <w:hideMark/>
          </w:tcPr>
          <w:p w14:paraId="1DAF442B" w14:textId="3A9A851F" w:rsidR="004F33EC" w:rsidRPr="001037CC" w:rsidRDefault="004F33EC" w:rsidP="00D56AFB">
            <w:pPr>
              <w:spacing w:line="480" w:lineRule="auto"/>
              <w:rPr>
                <w:rFonts w:ascii="Times New Roman" w:eastAsia="Times New Roman" w:hAnsi="Times New Roman" w:cs="Times New Roman"/>
                <w:sz w:val="24"/>
                <w:szCs w:val="24"/>
              </w:rPr>
            </w:pPr>
            <w:bookmarkStart w:id="1" w:name="_Hlk194232603"/>
            <w:r>
              <w:rPr>
                <w:rFonts w:ascii="Times New Roman" w:eastAsia="Times New Roman" w:hAnsi="Times New Roman" w:cs="Times New Roman"/>
                <w:sz w:val="24"/>
                <w:szCs w:val="24"/>
              </w:rPr>
              <w:t>a</w:t>
            </w:r>
            <w:r w:rsidRPr="00711C8C">
              <w:rPr>
                <w:rFonts w:ascii="Times New Roman" w:eastAsia="Times New Roman" w:hAnsi="Times New Roman" w:cs="Times New Roman"/>
                <w:sz w:val="24"/>
                <w:szCs w:val="24"/>
                <w:vertAlign w:val="subscript"/>
              </w:rPr>
              <w:t>2PL</w:t>
            </w:r>
            <w:bookmarkEnd w:id="1"/>
          </w:p>
        </w:tc>
        <w:tc>
          <w:tcPr>
            <w:tcW w:w="960" w:type="dxa"/>
            <w:tcBorders>
              <w:top w:val="single" w:sz="4" w:space="0" w:color="auto"/>
              <w:bottom w:val="single" w:sz="4" w:space="0" w:color="auto"/>
            </w:tcBorders>
            <w:noWrap/>
            <w:hideMark/>
          </w:tcPr>
          <w:p w14:paraId="67D6F8A4" w14:textId="7301312C" w:rsidR="004F33EC" w:rsidRPr="001037CC" w:rsidRDefault="004F33EC" w:rsidP="00D56AFB">
            <w:pPr>
              <w:spacing w:line="480" w:lineRule="auto"/>
              <w:rPr>
                <w:rFonts w:ascii="Times New Roman" w:eastAsia="Times New Roman" w:hAnsi="Times New Roman" w:cs="Times New Roman"/>
                <w:sz w:val="24"/>
                <w:szCs w:val="24"/>
              </w:rPr>
            </w:pPr>
            <w:proofErr w:type="spellStart"/>
            <w:r w:rsidRPr="001037CC">
              <w:rPr>
                <w:rFonts w:ascii="Times New Roman" w:eastAsia="Times New Roman" w:hAnsi="Times New Roman" w:cs="Times New Roman"/>
                <w:sz w:val="24"/>
                <w:szCs w:val="24"/>
              </w:rPr>
              <w:t>a</w:t>
            </w:r>
            <w:r w:rsidRPr="00462A09">
              <w:rPr>
                <w:rFonts w:ascii="Times New Roman" w:eastAsia="Times New Roman" w:hAnsi="Times New Roman" w:cs="Times New Roman"/>
                <w:sz w:val="24"/>
                <w:szCs w:val="24"/>
                <w:vertAlign w:val="subscript"/>
              </w:rPr>
              <w:t>GRM</w:t>
            </w:r>
            <w:proofErr w:type="spellEnd"/>
          </w:p>
        </w:tc>
        <w:tc>
          <w:tcPr>
            <w:tcW w:w="891" w:type="dxa"/>
            <w:tcBorders>
              <w:top w:val="single" w:sz="4" w:space="0" w:color="auto"/>
              <w:bottom w:val="single" w:sz="4" w:space="0" w:color="auto"/>
            </w:tcBorders>
          </w:tcPr>
          <w:p w14:paraId="7E905616" w14:textId="77777777" w:rsidR="004F33EC" w:rsidRPr="001037CC" w:rsidRDefault="004F33EC" w:rsidP="00D56AFB">
            <w:pPr>
              <w:spacing w:line="480" w:lineRule="auto"/>
              <w:rPr>
                <w:rFonts w:ascii="Times New Roman" w:eastAsia="Times New Roman" w:hAnsi="Times New Roman" w:cs="Times New Roman"/>
                <w:sz w:val="24"/>
                <w:szCs w:val="24"/>
              </w:rPr>
            </w:pPr>
          </w:p>
        </w:tc>
        <w:tc>
          <w:tcPr>
            <w:tcW w:w="891" w:type="dxa"/>
            <w:tcBorders>
              <w:top w:val="single" w:sz="4" w:space="0" w:color="auto"/>
              <w:bottom w:val="single" w:sz="4" w:space="0" w:color="auto"/>
            </w:tcBorders>
          </w:tcPr>
          <w:p w14:paraId="1E2500CA" w14:textId="553F88CC" w:rsidR="004F33EC" w:rsidRPr="001037CC" w:rsidRDefault="004F33EC"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a</w:t>
            </w:r>
          </w:p>
        </w:tc>
        <w:tc>
          <w:tcPr>
            <w:tcW w:w="891" w:type="dxa"/>
            <w:tcBorders>
              <w:top w:val="single" w:sz="4" w:space="0" w:color="auto"/>
              <w:bottom w:val="single" w:sz="4" w:space="0" w:color="auto"/>
            </w:tcBorders>
          </w:tcPr>
          <w:p w14:paraId="1E7A03AB" w14:textId="77777777" w:rsidR="004F33EC" w:rsidRPr="001037CC" w:rsidRDefault="004F33EC" w:rsidP="00D56AFB">
            <w:pPr>
              <w:spacing w:line="480" w:lineRule="auto"/>
              <w:rPr>
                <w:rFonts w:ascii="Times New Roman" w:eastAsia="Times New Roman" w:hAnsi="Times New Roman" w:cs="Times New Roman"/>
                <w:sz w:val="24"/>
                <w:szCs w:val="24"/>
              </w:rPr>
            </w:pPr>
          </w:p>
        </w:tc>
        <w:tc>
          <w:tcPr>
            <w:tcW w:w="891" w:type="dxa"/>
            <w:tcBorders>
              <w:top w:val="single" w:sz="4" w:space="0" w:color="auto"/>
              <w:bottom w:val="single" w:sz="4" w:space="0" w:color="auto"/>
            </w:tcBorders>
          </w:tcPr>
          <w:p w14:paraId="40827884" w14:textId="016FD381" w:rsidR="004F33EC" w:rsidRPr="001037CC" w:rsidRDefault="004F33EC" w:rsidP="00D56AFB">
            <w:pPr>
              <w:spacing w:line="480" w:lineRule="auto"/>
              <w:rPr>
                <w:rFonts w:ascii="Times New Roman" w:eastAsia="Times New Roman" w:hAnsi="Times New Roman" w:cs="Times New Roman"/>
                <w:sz w:val="24"/>
                <w:szCs w:val="24"/>
              </w:rPr>
            </w:pPr>
            <w:bookmarkStart w:id="2" w:name="_Hlk194351753"/>
            <w:r>
              <w:rPr>
                <w:rFonts w:ascii="Times New Roman" w:eastAsia="Times New Roman" w:hAnsi="Times New Roman" w:cs="Times New Roman"/>
                <w:sz w:val="24"/>
                <w:szCs w:val="24"/>
              </w:rPr>
              <w:t>a</w:t>
            </w:r>
            <w:r w:rsidRPr="00711C8C">
              <w:rPr>
                <w:rFonts w:ascii="Times New Roman" w:eastAsia="Times New Roman" w:hAnsi="Times New Roman" w:cs="Times New Roman"/>
                <w:sz w:val="24"/>
                <w:szCs w:val="24"/>
                <w:vertAlign w:val="subscript"/>
              </w:rPr>
              <w:t>2PL</w:t>
            </w:r>
            <w:bookmarkEnd w:id="2"/>
          </w:p>
        </w:tc>
        <w:tc>
          <w:tcPr>
            <w:tcW w:w="891" w:type="dxa"/>
            <w:tcBorders>
              <w:top w:val="single" w:sz="4" w:space="0" w:color="auto"/>
              <w:bottom w:val="single" w:sz="4" w:space="0" w:color="auto"/>
            </w:tcBorders>
          </w:tcPr>
          <w:p w14:paraId="5BBBEF47" w14:textId="3A11A3BA" w:rsidR="004F33EC" w:rsidRPr="001037CC" w:rsidRDefault="004F33EC" w:rsidP="00D56AFB">
            <w:pPr>
              <w:spacing w:line="480" w:lineRule="auto"/>
              <w:rPr>
                <w:rFonts w:ascii="Times New Roman" w:eastAsia="Times New Roman" w:hAnsi="Times New Roman" w:cs="Times New Roman"/>
                <w:sz w:val="24"/>
                <w:szCs w:val="24"/>
              </w:rPr>
            </w:pPr>
            <w:proofErr w:type="spellStart"/>
            <w:r w:rsidRPr="001037CC">
              <w:rPr>
                <w:rFonts w:ascii="Times New Roman" w:eastAsia="Times New Roman" w:hAnsi="Times New Roman" w:cs="Times New Roman"/>
                <w:sz w:val="24"/>
                <w:szCs w:val="24"/>
              </w:rPr>
              <w:t>a</w:t>
            </w:r>
            <w:r w:rsidRPr="00462A09">
              <w:rPr>
                <w:rFonts w:ascii="Times New Roman" w:eastAsia="Times New Roman" w:hAnsi="Times New Roman" w:cs="Times New Roman"/>
                <w:sz w:val="24"/>
                <w:szCs w:val="24"/>
                <w:vertAlign w:val="subscript"/>
              </w:rPr>
              <w:t>GRM</w:t>
            </w:r>
            <w:proofErr w:type="spellEnd"/>
          </w:p>
        </w:tc>
      </w:tr>
      <w:tr w:rsidR="005C0B94" w:rsidRPr="001037CC" w14:paraId="7F4F8CB6" w14:textId="578FF736" w:rsidTr="00C27A12">
        <w:trPr>
          <w:trHeight w:val="288"/>
        </w:trPr>
        <w:tc>
          <w:tcPr>
            <w:tcW w:w="1124" w:type="dxa"/>
            <w:tcBorders>
              <w:top w:val="single" w:sz="4" w:space="0" w:color="auto"/>
            </w:tcBorders>
            <w:noWrap/>
            <w:hideMark/>
          </w:tcPr>
          <w:p w14:paraId="4C3F9A79" w14:textId="77777777"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sad</w:t>
            </w:r>
          </w:p>
        </w:tc>
        <w:tc>
          <w:tcPr>
            <w:tcW w:w="960" w:type="dxa"/>
            <w:tcBorders>
              <w:top w:val="single" w:sz="4" w:space="0" w:color="auto"/>
            </w:tcBorders>
            <w:noWrap/>
            <w:hideMark/>
          </w:tcPr>
          <w:p w14:paraId="3F15E674" w14:textId="77777777"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2.38</w:t>
            </w:r>
          </w:p>
        </w:tc>
        <w:tc>
          <w:tcPr>
            <w:tcW w:w="891" w:type="dxa"/>
            <w:tcBorders>
              <w:top w:val="single" w:sz="4" w:space="0" w:color="auto"/>
            </w:tcBorders>
          </w:tcPr>
          <w:p w14:paraId="1DB23F7F" w14:textId="77777777" w:rsidR="005C0B94" w:rsidRPr="001037CC" w:rsidRDefault="005C0B94" w:rsidP="00D56AFB">
            <w:pPr>
              <w:spacing w:line="480" w:lineRule="auto"/>
              <w:rPr>
                <w:rFonts w:ascii="Times New Roman" w:eastAsia="Times New Roman" w:hAnsi="Times New Roman" w:cs="Times New Roman"/>
                <w:sz w:val="24"/>
                <w:szCs w:val="24"/>
              </w:rPr>
            </w:pPr>
          </w:p>
        </w:tc>
        <w:tc>
          <w:tcPr>
            <w:tcW w:w="960" w:type="dxa"/>
            <w:tcBorders>
              <w:top w:val="single" w:sz="4" w:space="0" w:color="auto"/>
            </w:tcBorders>
            <w:noWrap/>
            <w:hideMark/>
          </w:tcPr>
          <w:p w14:paraId="4636C975" w14:textId="169643C3"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2.35</w:t>
            </w:r>
          </w:p>
        </w:tc>
        <w:tc>
          <w:tcPr>
            <w:tcW w:w="960" w:type="dxa"/>
            <w:tcBorders>
              <w:top w:val="single" w:sz="4" w:space="0" w:color="auto"/>
            </w:tcBorders>
            <w:noWrap/>
            <w:hideMark/>
          </w:tcPr>
          <w:p w14:paraId="3EDB54C3" w14:textId="77777777"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2.26</w:t>
            </w:r>
          </w:p>
        </w:tc>
        <w:tc>
          <w:tcPr>
            <w:tcW w:w="891" w:type="dxa"/>
            <w:tcBorders>
              <w:top w:val="single" w:sz="4" w:space="0" w:color="auto"/>
            </w:tcBorders>
          </w:tcPr>
          <w:p w14:paraId="73EDA192" w14:textId="77777777" w:rsidR="005C0B94" w:rsidRPr="001037CC" w:rsidRDefault="005C0B94" w:rsidP="00D56AFB">
            <w:pPr>
              <w:spacing w:line="480" w:lineRule="auto"/>
              <w:rPr>
                <w:rFonts w:ascii="Times New Roman" w:eastAsia="Times New Roman" w:hAnsi="Times New Roman" w:cs="Times New Roman"/>
                <w:sz w:val="24"/>
                <w:szCs w:val="24"/>
              </w:rPr>
            </w:pPr>
          </w:p>
        </w:tc>
        <w:tc>
          <w:tcPr>
            <w:tcW w:w="891" w:type="dxa"/>
            <w:tcBorders>
              <w:top w:val="single" w:sz="4" w:space="0" w:color="auto"/>
            </w:tcBorders>
          </w:tcPr>
          <w:p w14:paraId="5C2D8753" w14:textId="3802EACA" w:rsidR="005C0B94" w:rsidRPr="00800692" w:rsidRDefault="005C0B94" w:rsidP="00D56AFB">
            <w:pPr>
              <w:spacing w:line="480" w:lineRule="auto"/>
              <w:rPr>
                <w:rFonts w:ascii="Times New Roman" w:eastAsia="Times New Roman" w:hAnsi="Times New Roman" w:cs="Times New Roman"/>
                <w:sz w:val="24"/>
                <w:szCs w:val="24"/>
              </w:rPr>
            </w:pPr>
            <w:r w:rsidRPr="00800692">
              <w:rPr>
                <w:rFonts w:ascii="Times New Roman" w:hAnsi="Times New Roman" w:cs="Times New Roman"/>
              </w:rPr>
              <w:t>1.22</w:t>
            </w:r>
          </w:p>
        </w:tc>
        <w:tc>
          <w:tcPr>
            <w:tcW w:w="891" w:type="dxa"/>
            <w:tcBorders>
              <w:top w:val="single" w:sz="4" w:space="0" w:color="auto"/>
            </w:tcBorders>
          </w:tcPr>
          <w:p w14:paraId="28742E87" w14:textId="77777777" w:rsidR="005C0B94" w:rsidRPr="00800692" w:rsidRDefault="005C0B94" w:rsidP="00D56AFB">
            <w:pPr>
              <w:spacing w:line="480" w:lineRule="auto"/>
              <w:rPr>
                <w:rFonts w:ascii="Times New Roman" w:eastAsia="Times New Roman" w:hAnsi="Times New Roman" w:cs="Times New Roman"/>
                <w:sz w:val="24"/>
                <w:szCs w:val="24"/>
              </w:rPr>
            </w:pPr>
          </w:p>
        </w:tc>
        <w:tc>
          <w:tcPr>
            <w:tcW w:w="891" w:type="dxa"/>
            <w:tcBorders>
              <w:top w:val="single" w:sz="4" w:space="0" w:color="auto"/>
            </w:tcBorders>
          </w:tcPr>
          <w:p w14:paraId="0A1C466E" w14:textId="4201D950" w:rsidR="005C0B94" w:rsidRPr="00800692" w:rsidRDefault="005C0B94" w:rsidP="00D56AFB">
            <w:pPr>
              <w:spacing w:line="480" w:lineRule="auto"/>
              <w:rPr>
                <w:rFonts w:ascii="Times New Roman" w:eastAsia="Times New Roman" w:hAnsi="Times New Roman" w:cs="Times New Roman"/>
                <w:sz w:val="24"/>
                <w:szCs w:val="24"/>
              </w:rPr>
            </w:pPr>
            <w:r w:rsidRPr="00800692">
              <w:rPr>
                <w:rFonts w:ascii="Times New Roman" w:hAnsi="Times New Roman" w:cs="Times New Roman"/>
              </w:rPr>
              <w:t>0.59</w:t>
            </w:r>
          </w:p>
        </w:tc>
        <w:tc>
          <w:tcPr>
            <w:tcW w:w="891" w:type="dxa"/>
            <w:tcBorders>
              <w:top w:val="single" w:sz="4" w:space="0" w:color="auto"/>
            </w:tcBorders>
          </w:tcPr>
          <w:p w14:paraId="490BBF30" w14:textId="123C52F5" w:rsidR="005C0B94" w:rsidRPr="00800692" w:rsidRDefault="005C0B94" w:rsidP="00D56AFB">
            <w:pPr>
              <w:spacing w:line="480" w:lineRule="auto"/>
              <w:rPr>
                <w:rFonts w:ascii="Times New Roman" w:eastAsia="Times New Roman" w:hAnsi="Times New Roman" w:cs="Times New Roman"/>
                <w:sz w:val="24"/>
                <w:szCs w:val="24"/>
              </w:rPr>
            </w:pPr>
            <w:r w:rsidRPr="00800692">
              <w:rPr>
                <w:rFonts w:ascii="Times New Roman" w:hAnsi="Times New Roman" w:cs="Times New Roman"/>
              </w:rPr>
              <w:t>2.05</w:t>
            </w:r>
          </w:p>
        </w:tc>
      </w:tr>
      <w:tr w:rsidR="005C0B94" w:rsidRPr="001037CC" w14:paraId="2B21C9BD" w14:textId="3B185494" w:rsidTr="00C27A12">
        <w:trPr>
          <w:trHeight w:val="288"/>
        </w:trPr>
        <w:tc>
          <w:tcPr>
            <w:tcW w:w="1124" w:type="dxa"/>
            <w:noWrap/>
            <w:hideMark/>
          </w:tcPr>
          <w:p w14:paraId="29D61416" w14:textId="77777777"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future</w:t>
            </w:r>
          </w:p>
        </w:tc>
        <w:tc>
          <w:tcPr>
            <w:tcW w:w="960" w:type="dxa"/>
            <w:noWrap/>
            <w:hideMark/>
          </w:tcPr>
          <w:p w14:paraId="14CD4E1C" w14:textId="77777777"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2.09</w:t>
            </w:r>
          </w:p>
        </w:tc>
        <w:tc>
          <w:tcPr>
            <w:tcW w:w="891" w:type="dxa"/>
          </w:tcPr>
          <w:p w14:paraId="7087F301" w14:textId="77777777" w:rsidR="005C0B94" w:rsidRPr="001037CC" w:rsidRDefault="005C0B94" w:rsidP="00D56AFB">
            <w:pPr>
              <w:spacing w:line="480" w:lineRule="auto"/>
              <w:rPr>
                <w:rFonts w:ascii="Times New Roman" w:eastAsia="Times New Roman" w:hAnsi="Times New Roman" w:cs="Times New Roman"/>
                <w:sz w:val="24"/>
                <w:szCs w:val="24"/>
              </w:rPr>
            </w:pPr>
          </w:p>
        </w:tc>
        <w:tc>
          <w:tcPr>
            <w:tcW w:w="960" w:type="dxa"/>
            <w:noWrap/>
            <w:hideMark/>
          </w:tcPr>
          <w:p w14:paraId="233A51E7" w14:textId="4ECED9D7"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1.95</w:t>
            </w:r>
          </w:p>
        </w:tc>
        <w:tc>
          <w:tcPr>
            <w:tcW w:w="960" w:type="dxa"/>
            <w:noWrap/>
            <w:hideMark/>
          </w:tcPr>
          <w:p w14:paraId="0F64DA92" w14:textId="77777777"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2.31</w:t>
            </w:r>
          </w:p>
        </w:tc>
        <w:tc>
          <w:tcPr>
            <w:tcW w:w="891" w:type="dxa"/>
          </w:tcPr>
          <w:p w14:paraId="3BE44432" w14:textId="77777777" w:rsidR="005C0B94" w:rsidRPr="001037CC" w:rsidRDefault="005C0B94" w:rsidP="00D56AFB">
            <w:pPr>
              <w:spacing w:line="480" w:lineRule="auto"/>
              <w:rPr>
                <w:rFonts w:ascii="Times New Roman" w:eastAsia="Times New Roman" w:hAnsi="Times New Roman" w:cs="Times New Roman"/>
                <w:sz w:val="24"/>
                <w:szCs w:val="24"/>
              </w:rPr>
            </w:pPr>
          </w:p>
        </w:tc>
        <w:tc>
          <w:tcPr>
            <w:tcW w:w="891" w:type="dxa"/>
          </w:tcPr>
          <w:p w14:paraId="21052E89" w14:textId="62F61442" w:rsidR="005C0B94" w:rsidRPr="00800692" w:rsidRDefault="005C0B94" w:rsidP="00D56AFB">
            <w:pPr>
              <w:spacing w:line="480" w:lineRule="auto"/>
              <w:rPr>
                <w:rFonts w:ascii="Times New Roman" w:eastAsia="Times New Roman" w:hAnsi="Times New Roman" w:cs="Times New Roman"/>
                <w:sz w:val="24"/>
                <w:szCs w:val="24"/>
              </w:rPr>
            </w:pPr>
            <w:r w:rsidRPr="00800692">
              <w:rPr>
                <w:rFonts w:ascii="Times New Roman" w:hAnsi="Times New Roman" w:cs="Times New Roman"/>
              </w:rPr>
              <w:t>0.98</w:t>
            </w:r>
          </w:p>
        </w:tc>
        <w:tc>
          <w:tcPr>
            <w:tcW w:w="891" w:type="dxa"/>
          </w:tcPr>
          <w:p w14:paraId="5BEED080" w14:textId="77777777" w:rsidR="005C0B94" w:rsidRPr="00800692" w:rsidRDefault="005C0B94" w:rsidP="00D56AFB">
            <w:pPr>
              <w:spacing w:line="480" w:lineRule="auto"/>
              <w:rPr>
                <w:rFonts w:ascii="Times New Roman" w:eastAsia="Times New Roman" w:hAnsi="Times New Roman" w:cs="Times New Roman"/>
                <w:sz w:val="24"/>
                <w:szCs w:val="24"/>
              </w:rPr>
            </w:pPr>
          </w:p>
        </w:tc>
        <w:tc>
          <w:tcPr>
            <w:tcW w:w="891" w:type="dxa"/>
          </w:tcPr>
          <w:p w14:paraId="67E46E29" w14:textId="5BFAB75D" w:rsidR="005C0B94" w:rsidRPr="00800692" w:rsidRDefault="005C0B94" w:rsidP="00D56AFB">
            <w:pPr>
              <w:spacing w:line="480" w:lineRule="auto"/>
              <w:rPr>
                <w:rFonts w:ascii="Times New Roman" w:eastAsia="Times New Roman" w:hAnsi="Times New Roman" w:cs="Times New Roman"/>
                <w:sz w:val="24"/>
                <w:szCs w:val="24"/>
              </w:rPr>
            </w:pPr>
            <w:r w:rsidRPr="00800692">
              <w:rPr>
                <w:rFonts w:ascii="Times New Roman" w:hAnsi="Times New Roman" w:cs="Times New Roman"/>
              </w:rPr>
              <w:t>0.65</w:t>
            </w:r>
          </w:p>
        </w:tc>
        <w:tc>
          <w:tcPr>
            <w:tcW w:w="891" w:type="dxa"/>
          </w:tcPr>
          <w:p w14:paraId="2F717F9E" w14:textId="2F472E56" w:rsidR="005C0B94" w:rsidRPr="00800692" w:rsidRDefault="005C0B94" w:rsidP="00D56AFB">
            <w:pPr>
              <w:spacing w:line="480" w:lineRule="auto"/>
              <w:rPr>
                <w:rFonts w:ascii="Times New Roman" w:eastAsia="Times New Roman" w:hAnsi="Times New Roman" w:cs="Times New Roman"/>
                <w:sz w:val="24"/>
                <w:szCs w:val="24"/>
              </w:rPr>
            </w:pPr>
            <w:r w:rsidRPr="00800692">
              <w:rPr>
                <w:rFonts w:ascii="Times New Roman" w:hAnsi="Times New Roman" w:cs="Times New Roman"/>
              </w:rPr>
              <w:t>1.78</w:t>
            </w:r>
          </w:p>
        </w:tc>
      </w:tr>
      <w:tr w:rsidR="005C0B94" w:rsidRPr="001037CC" w14:paraId="344EEA56" w14:textId="3D84ED2F" w:rsidTr="00C27A12">
        <w:trPr>
          <w:trHeight w:val="288"/>
        </w:trPr>
        <w:tc>
          <w:tcPr>
            <w:tcW w:w="1124" w:type="dxa"/>
            <w:noWrap/>
            <w:hideMark/>
          </w:tcPr>
          <w:p w14:paraId="4A452210" w14:textId="77777777"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failure</w:t>
            </w:r>
          </w:p>
        </w:tc>
        <w:tc>
          <w:tcPr>
            <w:tcW w:w="960" w:type="dxa"/>
            <w:noWrap/>
            <w:hideMark/>
          </w:tcPr>
          <w:p w14:paraId="5938A7D0" w14:textId="77777777"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1.98</w:t>
            </w:r>
          </w:p>
        </w:tc>
        <w:tc>
          <w:tcPr>
            <w:tcW w:w="891" w:type="dxa"/>
          </w:tcPr>
          <w:p w14:paraId="4DE11491" w14:textId="77777777" w:rsidR="005C0B94" w:rsidRPr="001037CC" w:rsidRDefault="005C0B94" w:rsidP="00D56AFB">
            <w:pPr>
              <w:spacing w:line="480" w:lineRule="auto"/>
              <w:rPr>
                <w:rFonts w:ascii="Times New Roman" w:eastAsia="Times New Roman" w:hAnsi="Times New Roman" w:cs="Times New Roman"/>
                <w:sz w:val="24"/>
                <w:szCs w:val="24"/>
              </w:rPr>
            </w:pPr>
          </w:p>
        </w:tc>
        <w:tc>
          <w:tcPr>
            <w:tcW w:w="960" w:type="dxa"/>
            <w:noWrap/>
            <w:hideMark/>
          </w:tcPr>
          <w:p w14:paraId="6D8AB4E5" w14:textId="79B91ED7"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1.78</w:t>
            </w:r>
          </w:p>
        </w:tc>
        <w:tc>
          <w:tcPr>
            <w:tcW w:w="960" w:type="dxa"/>
            <w:noWrap/>
            <w:hideMark/>
          </w:tcPr>
          <w:p w14:paraId="7D4AA954" w14:textId="77777777"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1.41</w:t>
            </w:r>
          </w:p>
        </w:tc>
        <w:tc>
          <w:tcPr>
            <w:tcW w:w="891" w:type="dxa"/>
          </w:tcPr>
          <w:p w14:paraId="7D68461B" w14:textId="77777777" w:rsidR="005C0B94" w:rsidRPr="001037CC" w:rsidRDefault="005C0B94" w:rsidP="00D56AFB">
            <w:pPr>
              <w:spacing w:line="480" w:lineRule="auto"/>
              <w:rPr>
                <w:rFonts w:ascii="Times New Roman" w:eastAsia="Times New Roman" w:hAnsi="Times New Roman" w:cs="Times New Roman"/>
                <w:sz w:val="24"/>
                <w:szCs w:val="24"/>
              </w:rPr>
            </w:pPr>
          </w:p>
        </w:tc>
        <w:tc>
          <w:tcPr>
            <w:tcW w:w="891" w:type="dxa"/>
          </w:tcPr>
          <w:p w14:paraId="110F5B54" w14:textId="15740FC1" w:rsidR="005C0B94" w:rsidRPr="00800692" w:rsidRDefault="005C0B94" w:rsidP="00D56AFB">
            <w:pPr>
              <w:spacing w:line="480" w:lineRule="auto"/>
              <w:rPr>
                <w:rFonts w:ascii="Times New Roman" w:eastAsia="Times New Roman" w:hAnsi="Times New Roman" w:cs="Times New Roman"/>
                <w:sz w:val="24"/>
                <w:szCs w:val="24"/>
              </w:rPr>
            </w:pPr>
            <w:r w:rsidRPr="00800692">
              <w:rPr>
                <w:rFonts w:ascii="Times New Roman" w:hAnsi="Times New Roman" w:cs="Times New Roman"/>
              </w:rPr>
              <w:t>0.69</w:t>
            </w:r>
          </w:p>
        </w:tc>
        <w:tc>
          <w:tcPr>
            <w:tcW w:w="891" w:type="dxa"/>
          </w:tcPr>
          <w:p w14:paraId="035C04DD" w14:textId="77777777" w:rsidR="005C0B94" w:rsidRPr="00800692" w:rsidRDefault="005C0B94" w:rsidP="00D56AFB">
            <w:pPr>
              <w:spacing w:line="480" w:lineRule="auto"/>
              <w:rPr>
                <w:rFonts w:ascii="Times New Roman" w:eastAsia="Times New Roman" w:hAnsi="Times New Roman" w:cs="Times New Roman"/>
                <w:sz w:val="24"/>
                <w:szCs w:val="24"/>
              </w:rPr>
            </w:pPr>
          </w:p>
        </w:tc>
        <w:tc>
          <w:tcPr>
            <w:tcW w:w="891" w:type="dxa"/>
          </w:tcPr>
          <w:p w14:paraId="1EC32DD1" w14:textId="3C595ACE" w:rsidR="005C0B94" w:rsidRPr="00800692" w:rsidRDefault="005C0B94" w:rsidP="00D56AFB">
            <w:pPr>
              <w:spacing w:line="480" w:lineRule="auto"/>
              <w:rPr>
                <w:rFonts w:ascii="Times New Roman" w:eastAsia="Times New Roman" w:hAnsi="Times New Roman" w:cs="Times New Roman"/>
                <w:sz w:val="24"/>
                <w:szCs w:val="24"/>
              </w:rPr>
            </w:pPr>
            <w:r w:rsidRPr="00800692">
              <w:rPr>
                <w:rFonts w:ascii="Times New Roman" w:hAnsi="Times New Roman" w:cs="Times New Roman"/>
              </w:rPr>
              <w:t>0.60</w:t>
            </w:r>
          </w:p>
        </w:tc>
        <w:tc>
          <w:tcPr>
            <w:tcW w:w="891" w:type="dxa"/>
          </w:tcPr>
          <w:p w14:paraId="2F8C0A34" w14:textId="58C96EF5" w:rsidR="005C0B94" w:rsidRPr="00800692" w:rsidRDefault="005C0B94" w:rsidP="00D56AFB">
            <w:pPr>
              <w:spacing w:line="480" w:lineRule="auto"/>
              <w:rPr>
                <w:rFonts w:ascii="Times New Roman" w:eastAsia="Times New Roman" w:hAnsi="Times New Roman" w:cs="Times New Roman"/>
                <w:sz w:val="24"/>
                <w:szCs w:val="24"/>
              </w:rPr>
            </w:pPr>
            <w:r w:rsidRPr="00800692">
              <w:rPr>
                <w:rFonts w:ascii="Times New Roman" w:hAnsi="Times New Roman" w:cs="Times New Roman"/>
              </w:rPr>
              <w:t>1.62</w:t>
            </w:r>
          </w:p>
        </w:tc>
      </w:tr>
      <w:tr w:rsidR="005C0B94" w:rsidRPr="001037CC" w14:paraId="045A536D" w14:textId="7F09626C" w:rsidTr="00C27A12">
        <w:trPr>
          <w:trHeight w:val="288"/>
        </w:trPr>
        <w:tc>
          <w:tcPr>
            <w:tcW w:w="1124" w:type="dxa"/>
            <w:noWrap/>
            <w:hideMark/>
          </w:tcPr>
          <w:p w14:paraId="5280B198" w14:textId="77777777"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satisfy</w:t>
            </w:r>
          </w:p>
        </w:tc>
        <w:tc>
          <w:tcPr>
            <w:tcW w:w="960" w:type="dxa"/>
            <w:noWrap/>
            <w:hideMark/>
          </w:tcPr>
          <w:p w14:paraId="2E29F195" w14:textId="77777777"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2.85</w:t>
            </w:r>
          </w:p>
        </w:tc>
        <w:tc>
          <w:tcPr>
            <w:tcW w:w="891" w:type="dxa"/>
          </w:tcPr>
          <w:p w14:paraId="474EC86D" w14:textId="77777777" w:rsidR="005C0B94" w:rsidRPr="001037CC" w:rsidRDefault="005C0B94" w:rsidP="00D56AFB">
            <w:pPr>
              <w:spacing w:line="480" w:lineRule="auto"/>
              <w:rPr>
                <w:rFonts w:ascii="Times New Roman" w:eastAsia="Times New Roman" w:hAnsi="Times New Roman" w:cs="Times New Roman"/>
                <w:sz w:val="24"/>
                <w:szCs w:val="24"/>
              </w:rPr>
            </w:pPr>
          </w:p>
        </w:tc>
        <w:tc>
          <w:tcPr>
            <w:tcW w:w="960" w:type="dxa"/>
            <w:noWrap/>
            <w:hideMark/>
          </w:tcPr>
          <w:p w14:paraId="1A25A10C" w14:textId="2BE33AAD"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3.36</w:t>
            </w:r>
          </w:p>
        </w:tc>
        <w:tc>
          <w:tcPr>
            <w:tcW w:w="960" w:type="dxa"/>
            <w:noWrap/>
            <w:hideMark/>
          </w:tcPr>
          <w:p w14:paraId="309FFA83" w14:textId="77777777"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1.85</w:t>
            </w:r>
          </w:p>
        </w:tc>
        <w:tc>
          <w:tcPr>
            <w:tcW w:w="891" w:type="dxa"/>
          </w:tcPr>
          <w:p w14:paraId="3B6E7FEB" w14:textId="77777777" w:rsidR="005C0B94" w:rsidRPr="001037CC" w:rsidRDefault="005C0B94" w:rsidP="00D56AFB">
            <w:pPr>
              <w:spacing w:line="480" w:lineRule="auto"/>
              <w:rPr>
                <w:rFonts w:ascii="Times New Roman" w:eastAsia="Times New Roman" w:hAnsi="Times New Roman" w:cs="Times New Roman"/>
                <w:sz w:val="24"/>
                <w:szCs w:val="24"/>
              </w:rPr>
            </w:pPr>
          </w:p>
        </w:tc>
        <w:tc>
          <w:tcPr>
            <w:tcW w:w="891" w:type="dxa"/>
          </w:tcPr>
          <w:p w14:paraId="614B96BC" w14:textId="208D288C" w:rsidR="005C0B94" w:rsidRPr="00800692" w:rsidRDefault="005C0B94" w:rsidP="00D56AFB">
            <w:pPr>
              <w:spacing w:line="480" w:lineRule="auto"/>
              <w:rPr>
                <w:rFonts w:ascii="Times New Roman" w:eastAsia="Times New Roman" w:hAnsi="Times New Roman" w:cs="Times New Roman"/>
                <w:sz w:val="24"/>
                <w:szCs w:val="24"/>
              </w:rPr>
            </w:pPr>
            <w:r w:rsidRPr="00800692">
              <w:rPr>
                <w:rFonts w:ascii="Times New Roman" w:hAnsi="Times New Roman" w:cs="Times New Roman"/>
              </w:rPr>
              <w:t>1.06</w:t>
            </w:r>
          </w:p>
        </w:tc>
        <w:tc>
          <w:tcPr>
            <w:tcW w:w="891" w:type="dxa"/>
          </w:tcPr>
          <w:p w14:paraId="081B9A7A" w14:textId="77777777" w:rsidR="005C0B94" w:rsidRPr="00800692" w:rsidRDefault="005C0B94" w:rsidP="00D56AFB">
            <w:pPr>
              <w:spacing w:line="480" w:lineRule="auto"/>
              <w:rPr>
                <w:rFonts w:ascii="Times New Roman" w:eastAsia="Times New Roman" w:hAnsi="Times New Roman" w:cs="Times New Roman"/>
                <w:sz w:val="24"/>
                <w:szCs w:val="24"/>
              </w:rPr>
            </w:pPr>
          </w:p>
        </w:tc>
        <w:tc>
          <w:tcPr>
            <w:tcW w:w="891" w:type="dxa"/>
          </w:tcPr>
          <w:p w14:paraId="79C364D3" w14:textId="4AFD5984" w:rsidR="005C0B94" w:rsidRPr="00800692" w:rsidRDefault="005C0B94" w:rsidP="00D56AFB">
            <w:pPr>
              <w:spacing w:line="480" w:lineRule="auto"/>
              <w:rPr>
                <w:rFonts w:ascii="Times New Roman" w:eastAsia="Times New Roman" w:hAnsi="Times New Roman" w:cs="Times New Roman"/>
                <w:sz w:val="24"/>
                <w:szCs w:val="24"/>
              </w:rPr>
            </w:pPr>
            <w:r w:rsidRPr="00800692">
              <w:rPr>
                <w:rFonts w:ascii="Times New Roman" w:hAnsi="Times New Roman" w:cs="Times New Roman"/>
              </w:rPr>
              <w:t>1.17</w:t>
            </w:r>
          </w:p>
        </w:tc>
        <w:tc>
          <w:tcPr>
            <w:tcW w:w="891" w:type="dxa"/>
          </w:tcPr>
          <w:p w14:paraId="2611B941" w14:textId="42B2A56A" w:rsidR="005C0B94" w:rsidRPr="00800692" w:rsidRDefault="005C0B94" w:rsidP="00D56AFB">
            <w:pPr>
              <w:spacing w:line="480" w:lineRule="auto"/>
              <w:rPr>
                <w:rFonts w:ascii="Times New Roman" w:eastAsia="Times New Roman" w:hAnsi="Times New Roman" w:cs="Times New Roman"/>
                <w:sz w:val="24"/>
                <w:szCs w:val="24"/>
              </w:rPr>
            </w:pPr>
            <w:r w:rsidRPr="00800692">
              <w:rPr>
                <w:rFonts w:ascii="Times New Roman" w:hAnsi="Times New Roman" w:cs="Times New Roman"/>
              </w:rPr>
              <w:t>1.52</w:t>
            </w:r>
          </w:p>
        </w:tc>
      </w:tr>
      <w:tr w:rsidR="005C0B94" w:rsidRPr="001037CC" w14:paraId="648B546E" w14:textId="671868E1" w:rsidTr="00C27A12">
        <w:trPr>
          <w:trHeight w:val="288"/>
        </w:trPr>
        <w:tc>
          <w:tcPr>
            <w:tcW w:w="1124" w:type="dxa"/>
            <w:noWrap/>
            <w:hideMark/>
          </w:tcPr>
          <w:p w14:paraId="183F3C4A" w14:textId="77777777"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guilty</w:t>
            </w:r>
          </w:p>
        </w:tc>
        <w:tc>
          <w:tcPr>
            <w:tcW w:w="960" w:type="dxa"/>
            <w:noWrap/>
            <w:hideMark/>
          </w:tcPr>
          <w:p w14:paraId="4CF8A57E" w14:textId="77777777"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1.78</w:t>
            </w:r>
          </w:p>
        </w:tc>
        <w:tc>
          <w:tcPr>
            <w:tcW w:w="891" w:type="dxa"/>
          </w:tcPr>
          <w:p w14:paraId="608B7750" w14:textId="77777777" w:rsidR="005C0B94" w:rsidRPr="001037CC" w:rsidRDefault="005C0B94" w:rsidP="00D56AFB">
            <w:pPr>
              <w:spacing w:line="480" w:lineRule="auto"/>
              <w:rPr>
                <w:rFonts w:ascii="Times New Roman" w:eastAsia="Times New Roman" w:hAnsi="Times New Roman" w:cs="Times New Roman"/>
                <w:sz w:val="24"/>
                <w:szCs w:val="24"/>
              </w:rPr>
            </w:pPr>
          </w:p>
        </w:tc>
        <w:tc>
          <w:tcPr>
            <w:tcW w:w="960" w:type="dxa"/>
            <w:noWrap/>
            <w:hideMark/>
          </w:tcPr>
          <w:p w14:paraId="79F1BEF7" w14:textId="6160FB09"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1.62</w:t>
            </w:r>
          </w:p>
        </w:tc>
        <w:tc>
          <w:tcPr>
            <w:tcW w:w="960" w:type="dxa"/>
            <w:noWrap/>
            <w:hideMark/>
          </w:tcPr>
          <w:p w14:paraId="4A381506" w14:textId="77777777"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1.7</w:t>
            </w:r>
          </w:p>
        </w:tc>
        <w:tc>
          <w:tcPr>
            <w:tcW w:w="891" w:type="dxa"/>
          </w:tcPr>
          <w:p w14:paraId="3EB67CCD" w14:textId="77777777" w:rsidR="005C0B94" w:rsidRPr="001037CC" w:rsidRDefault="005C0B94" w:rsidP="00D56AFB">
            <w:pPr>
              <w:spacing w:line="480" w:lineRule="auto"/>
              <w:rPr>
                <w:rFonts w:ascii="Times New Roman" w:eastAsia="Times New Roman" w:hAnsi="Times New Roman" w:cs="Times New Roman"/>
                <w:sz w:val="24"/>
                <w:szCs w:val="24"/>
              </w:rPr>
            </w:pPr>
          </w:p>
        </w:tc>
        <w:tc>
          <w:tcPr>
            <w:tcW w:w="891" w:type="dxa"/>
          </w:tcPr>
          <w:p w14:paraId="3CBBC7EF" w14:textId="625936A2" w:rsidR="005C0B94" w:rsidRPr="00800692" w:rsidRDefault="005C0B94" w:rsidP="00D56AFB">
            <w:pPr>
              <w:spacing w:line="480" w:lineRule="auto"/>
              <w:rPr>
                <w:rFonts w:ascii="Times New Roman" w:eastAsia="Times New Roman" w:hAnsi="Times New Roman" w:cs="Times New Roman"/>
                <w:sz w:val="24"/>
                <w:szCs w:val="24"/>
              </w:rPr>
            </w:pPr>
            <w:r w:rsidRPr="00800692">
              <w:rPr>
                <w:rFonts w:ascii="Times New Roman" w:hAnsi="Times New Roman" w:cs="Times New Roman"/>
              </w:rPr>
              <w:t>0.60</w:t>
            </w:r>
          </w:p>
        </w:tc>
        <w:tc>
          <w:tcPr>
            <w:tcW w:w="891" w:type="dxa"/>
          </w:tcPr>
          <w:p w14:paraId="017B0644" w14:textId="77777777" w:rsidR="005C0B94" w:rsidRPr="00800692" w:rsidRDefault="005C0B94" w:rsidP="00D56AFB">
            <w:pPr>
              <w:spacing w:line="480" w:lineRule="auto"/>
              <w:rPr>
                <w:rFonts w:ascii="Times New Roman" w:eastAsia="Times New Roman" w:hAnsi="Times New Roman" w:cs="Times New Roman"/>
                <w:sz w:val="24"/>
                <w:szCs w:val="24"/>
              </w:rPr>
            </w:pPr>
          </w:p>
        </w:tc>
        <w:tc>
          <w:tcPr>
            <w:tcW w:w="891" w:type="dxa"/>
          </w:tcPr>
          <w:p w14:paraId="79A654E8" w14:textId="745FFE22" w:rsidR="005C0B94" w:rsidRPr="00800692" w:rsidRDefault="005C0B94" w:rsidP="00D56AFB">
            <w:pPr>
              <w:spacing w:line="480" w:lineRule="auto"/>
              <w:rPr>
                <w:rFonts w:ascii="Times New Roman" w:eastAsia="Times New Roman" w:hAnsi="Times New Roman" w:cs="Times New Roman"/>
                <w:sz w:val="24"/>
                <w:szCs w:val="24"/>
              </w:rPr>
            </w:pPr>
            <w:r w:rsidRPr="00800692">
              <w:rPr>
                <w:rFonts w:ascii="Times New Roman" w:hAnsi="Times New Roman" w:cs="Times New Roman"/>
              </w:rPr>
              <w:t>0.47</w:t>
            </w:r>
          </w:p>
        </w:tc>
        <w:tc>
          <w:tcPr>
            <w:tcW w:w="891" w:type="dxa"/>
          </w:tcPr>
          <w:p w14:paraId="2E7C6BA3" w14:textId="5A80A960" w:rsidR="005C0B94" w:rsidRPr="00800692" w:rsidRDefault="005C0B94" w:rsidP="00D56AFB">
            <w:pPr>
              <w:spacing w:line="480" w:lineRule="auto"/>
              <w:rPr>
                <w:rFonts w:ascii="Times New Roman" w:eastAsia="Times New Roman" w:hAnsi="Times New Roman" w:cs="Times New Roman"/>
                <w:sz w:val="24"/>
                <w:szCs w:val="24"/>
              </w:rPr>
            </w:pPr>
            <w:r w:rsidRPr="00800692">
              <w:rPr>
                <w:rFonts w:ascii="Times New Roman" w:hAnsi="Times New Roman" w:cs="Times New Roman"/>
              </w:rPr>
              <w:t>1.41</w:t>
            </w:r>
          </w:p>
        </w:tc>
      </w:tr>
      <w:tr w:rsidR="005C0B94" w:rsidRPr="001037CC" w14:paraId="00EE8A5B" w14:textId="446A1C82" w:rsidTr="00C27A12">
        <w:trPr>
          <w:trHeight w:val="288"/>
        </w:trPr>
        <w:tc>
          <w:tcPr>
            <w:tcW w:w="1124" w:type="dxa"/>
            <w:noWrap/>
            <w:hideMark/>
          </w:tcPr>
          <w:p w14:paraId="5032E437" w14:textId="77777777"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punish</w:t>
            </w:r>
          </w:p>
        </w:tc>
        <w:tc>
          <w:tcPr>
            <w:tcW w:w="960" w:type="dxa"/>
            <w:noWrap/>
            <w:hideMark/>
          </w:tcPr>
          <w:p w14:paraId="4B69ED2B" w14:textId="77777777"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1.5</w:t>
            </w:r>
          </w:p>
        </w:tc>
        <w:tc>
          <w:tcPr>
            <w:tcW w:w="891" w:type="dxa"/>
          </w:tcPr>
          <w:p w14:paraId="4BE6C0FC" w14:textId="77777777" w:rsidR="005C0B94" w:rsidRPr="001037CC" w:rsidRDefault="005C0B94" w:rsidP="00D56AFB">
            <w:pPr>
              <w:spacing w:line="480" w:lineRule="auto"/>
              <w:rPr>
                <w:rFonts w:ascii="Times New Roman" w:eastAsia="Times New Roman" w:hAnsi="Times New Roman" w:cs="Times New Roman"/>
                <w:sz w:val="24"/>
                <w:szCs w:val="24"/>
              </w:rPr>
            </w:pPr>
          </w:p>
        </w:tc>
        <w:tc>
          <w:tcPr>
            <w:tcW w:w="960" w:type="dxa"/>
            <w:noWrap/>
            <w:hideMark/>
          </w:tcPr>
          <w:p w14:paraId="39BC66A2" w14:textId="6FFCAF87"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1.37</w:t>
            </w:r>
          </w:p>
        </w:tc>
        <w:tc>
          <w:tcPr>
            <w:tcW w:w="960" w:type="dxa"/>
            <w:noWrap/>
            <w:hideMark/>
          </w:tcPr>
          <w:p w14:paraId="0BBA30CB" w14:textId="77777777"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1.25</w:t>
            </w:r>
          </w:p>
        </w:tc>
        <w:tc>
          <w:tcPr>
            <w:tcW w:w="891" w:type="dxa"/>
          </w:tcPr>
          <w:p w14:paraId="5BB02A3E" w14:textId="77777777" w:rsidR="005C0B94" w:rsidRPr="001037CC" w:rsidRDefault="005C0B94" w:rsidP="00D56AFB">
            <w:pPr>
              <w:spacing w:line="480" w:lineRule="auto"/>
              <w:rPr>
                <w:rFonts w:ascii="Times New Roman" w:eastAsia="Times New Roman" w:hAnsi="Times New Roman" w:cs="Times New Roman"/>
                <w:sz w:val="24"/>
                <w:szCs w:val="24"/>
              </w:rPr>
            </w:pPr>
          </w:p>
        </w:tc>
        <w:tc>
          <w:tcPr>
            <w:tcW w:w="891" w:type="dxa"/>
          </w:tcPr>
          <w:p w14:paraId="4C4B3586" w14:textId="1391D266" w:rsidR="005C0B94" w:rsidRPr="00800692" w:rsidRDefault="005C0B94" w:rsidP="00D56AFB">
            <w:pPr>
              <w:spacing w:line="480" w:lineRule="auto"/>
              <w:rPr>
                <w:rFonts w:ascii="Times New Roman" w:eastAsia="Times New Roman" w:hAnsi="Times New Roman" w:cs="Times New Roman"/>
                <w:sz w:val="24"/>
                <w:szCs w:val="24"/>
              </w:rPr>
            </w:pPr>
            <w:r w:rsidRPr="00800692">
              <w:rPr>
                <w:rFonts w:ascii="Times New Roman" w:hAnsi="Times New Roman" w:cs="Times New Roman"/>
              </w:rPr>
              <w:t>0.51</w:t>
            </w:r>
          </w:p>
        </w:tc>
        <w:tc>
          <w:tcPr>
            <w:tcW w:w="891" w:type="dxa"/>
          </w:tcPr>
          <w:p w14:paraId="59E95933" w14:textId="77777777" w:rsidR="005C0B94" w:rsidRPr="00800692" w:rsidRDefault="005C0B94" w:rsidP="00D56AFB">
            <w:pPr>
              <w:spacing w:line="480" w:lineRule="auto"/>
              <w:rPr>
                <w:rFonts w:ascii="Times New Roman" w:eastAsia="Times New Roman" w:hAnsi="Times New Roman" w:cs="Times New Roman"/>
                <w:sz w:val="24"/>
                <w:szCs w:val="24"/>
              </w:rPr>
            </w:pPr>
          </w:p>
        </w:tc>
        <w:tc>
          <w:tcPr>
            <w:tcW w:w="891" w:type="dxa"/>
          </w:tcPr>
          <w:p w14:paraId="651010DC" w14:textId="21A54EBF" w:rsidR="005C0B94" w:rsidRPr="00800692" w:rsidRDefault="005C0B94" w:rsidP="00D56AFB">
            <w:pPr>
              <w:spacing w:line="480" w:lineRule="auto"/>
              <w:rPr>
                <w:rFonts w:ascii="Times New Roman" w:eastAsia="Times New Roman" w:hAnsi="Times New Roman" w:cs="Times New Roman"/>
                <w:sz w:val="24"/>
                <w:szCs w:val="24"/>
              </w:rPr>
            </w:pPr>
            <w:r w:rsidRPr="00800692">
              <w:rPr>
                <w:rFonts w:ascii="Times New Roman" w:hAnsi="Times New Roman" w:cs="Times New Roman"/>
              </w:rPr>
              <w:t>0.33</w:t>
            </w:r>
          </w:p>
        </w:tc>
        <w:tc>
          <w:tcPr>
            <w:tcW w:w="891" w:type="dxa"/>
          </w:tcPr>
          <w:p w14:paraId="35D47C32" w14:textId="14EEA7DC" w:rsidR="005C0B94" w:rsidRPr="00800692" w:rsidRDefault="005C0B94" w:rsidP="00D56AFB">
            <w:pPr>
              <w:spacing w:line="480" w:lineRule="auto"/>
              <w:rPr>
                <w:rFonts w:ascii="Times New Roman" w:eastAsia="Times New Roman" w:hAnsi="Times New Roman" w:cs="Times New Roman"/>
                <w:sz w:val="24"/>
                <w:szCs w:val="24"/>
              </w:rPr>
            </w:pPr>
            <w:r w:rsidRPr="00800692">
              <w:rPr>
                <w:rFonts w:ascii="Times New Roman" w:hAnsi="Times New Roman" w:cs="Times New Roman"/>
              </w:rPr>
              <w:t>0.96</w:t>
            </w:r>
          </w:p>
        </w:tc>
      </w:tr>
      <w:tr w:rsidR="005C0B94" w:rsidRPr="001037CC" w14:paraId="4340B521" w14:textId="3ECBABC1" w:rsidTr="00C27A12">
        <w:trPr>
          <w:trHeight w:val="288"/>
        </w:trPr>
        <w:tc>
          <w:tcPr>
            <w:tcW w:w="1124" w:type="dxa"/>
            <w:noWrap/>
            <w:hideMark/>
          </w:tcPr>
          <w:p w14:paraId="5A3E77C9" w14:textId="77777777"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hate</w:t>
            </w:r>
          </w:p>
        </w:tc>
        <w:tc>
          <w:tcPr>
            <w:tcW w:w="960" w:type="dxa"/>
            <w:noWrap/>
            <w:hideMark/>
          </w:tcPr>
          <w:p w14:paraId="298632BD" w14:textId="77777777"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1.84</w:t>
            </w:r>
          </w:p>
        </w:tc>
        <w:tc>
          <w:tcPr>
            <w:tcW w:w="891" w:type="dxa"/>
          </w:tcPr>
          <w:p w14:paraId="358780F8" w14:textId="77777777" w:rsidR="005C0B94" w:rsidRPr="001037CC" w:rsidRDefault="005C0B94" w:rsidP="00D56AFB">
            <w:pPr>
              <w:spacing w:line="480" w:lineRule="auto"/>
              <w:rPr>
                <w:rFonts w:ascii="Times New Roman" w:eastAsia="Times New Roman" w:hAnsi="Times New Roman" w:cs="Times New Roman"/>
                <w:sz w:val="24"/>
                <w:szCs w:val="24"/>
              </w:rPr>
            </w:pPr>
          </w:p>
        </w:tc>
        <w:tc>
          <w:tcPr>
            <w:tcW w:w="960" w:type="dxa"/>
            <w:noWrap/>
            <w:hideMark/>
          </w:tcPr>
          <w:p w14:paraId="1C553E00" w14:textId="2986DAE0"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1.69</w:t>
            </w:r>
          </w:p>
        </w:tc>
        <w:tc>
          <w:tcPr>
            <w:tcW w:w="960" w:type="dxa"/>
            <w:noWrap/>
            <w:hideMark/>
          </w:tcPr>
          <w:p w14:paraId="0D384877" w14:textId="77777777"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2.16</w:t>
            </w:r>
          </w:p>
        </w:tc>
        <w:tc>
          <w:tcPr>
            <w:tcW w:w="891" w:type="dxa"/>
          </w:tcPr>
          <w:p w14:paraId="69E65267" w14:textId="77777777" w:rsidR="005C0B94" w:rsidRPr="001037CC" w:rsidRDefault="005C0B94" w:rsidP="00D56AFB">
            <w:pPr>
              <w:spacing w:line="480" w:lineRule="auto"/>
              <w:rPr>
                <w:rFonts w:ascii="Times New Roman" w:eastAsia="Times New Roman" w:hAnsi="Times New Roman" w:cs="Times New Roman"/>
                <w:sz w:val="24"/>
                <w:szCs w:val="24"/>
              </w:rPr>
            </w:pPr>
          </w:p>
        </w:tc>
        <w:tc>
          <w:tcPr>
            <w:tcW w:w="891" w:type="dxa"/>
          </w:tcPr>
          <w:p w14:paraId="6C79A5C4" w14:textId="5C415BF5" w:rsidR="005C0B94" w:rsidRPr="00800692" w:rsidRDefault="005C0B94" w:rsidP="00D56AFB">
            <w:pPr>
              <w:spacing w:line="480" w:lineRule="auto"/>
              <w:rPr>
                <w:rFonts w:ascii="Times New Roman" w:eastAsia="Times New Roman" w:hAnsi="Times New Roman" w:cs="Times New Roman"/>
                <w:sz w:val="24"/>
                <w:szCs w:val="24"/>
              </w:rPr>
            </w:pPr>
            <w:r w:rsidRPr="00800692">
              <w:rPr>
                <w:rFonts w:ascii="Times New Roman" w:hAnsi="Times New Roman" w:cs="Times New Roman"/>
              </w:rPr>
              <w:t>0.42</w:t>
            </w:r>
          </w:p>
        </w:tc>
        <w:tc>
          <w:tcPr>
            <w:tcW w:w="891" w:type="dxa"/>
          </w:tcPr>
          <w:p w14:paraId="10BD7768" w14:textId="77777777" w:rsidR="005C0B94" w:rsidRPr="00800692" w:rsidRDefault="005C0B94" w:rsidP="00D56AFB">
            <w:pPr>
              <w:spacing w:line="480" w:lineRule="auto"/>
              <w:rPr>
                <w:rFonts w:ascii="Times New Roman" w:eastAsia="Times New Roman" w:hAnsi="Times New Roman" w:cs="Times New Roman"/>
                <w:sz w:val="24"/>
                <w:szCs w:val="24"/>
              </w:rPr>
            </w:pPr>
          </w:p>
        </w:tc>
        <w:tc>
          <w:tcPr>
            <w:tcW w:w="891" w:type="dxa"/>
          </w:tcPr>
          <w:p w14:paraId="40837D55" w14:textId="5DCABA8B" w:rsidR="005C0B94" w:rsidRPr="00800692" w:rsidRDefault="005C0B94" w:rsidP="00D56AFB">
            <w:pPr>
              <w:spacing w:line="480" w:lineRule="auto"/>
              <w:rPr>
                <w:rFonts w:ascii="Times New Roman" w:eastAsia="Times New Roman" w:hAnsi="Times New Roman" w:cs="Times New Roman"/>
                <w:sz w:val="24"/>
                <w:szCs w:val="24"/>
              </w:rPr>
            </w:pPr>
            <w:r w:rsidRPr="00800692">
              <w:rPr>
                <w:rFonts w:ascii="Times New Roman" w:hAnsi="Times New Roman" w:cs="Times New Roman"/>
              </w:rPr>
              <w:t>0.21</w:t>
            </w:r>
          </w:p>
        </w:tc>
        <w:tc>
          <w:tcPr>
            <w:tcW w:w="891" w:type="dxa"/>
          </w:tcPr>
          <w:p w14:paraId="2688D598" w14:textId="22AA708D" w:rsidR="005C0B94" w:rsidRPr="00800692" w:rsidRDefault="005C0B94" w:rsidP="00D56AFB">
            <w:pPr>
              <w:spacing w:line="480" w:lineRule="auto"/>
              <w:rPr>
                <w:rFonts w:ascii="Times New Roman" w:eastAsia="Times New Roman" w:hAnsi="Times New Roman" w:cs="Times New Roman"/>
                <w:sz w:val="24"/>
                <w:szCs w:val="24"/>
              </w:rPr>
            </w:pPr>
            <w:r w:rsidRPr="00800692">
              <w:rPr>
                <w:rFonts w:ascii="Times New Roman" w:hAnsi="Times New Roman" w:cs="Times New Roman"/>
              </w:rPr>
              <w:t>1.67</w:t>
            </w:r>
          </w:p>
        </w:tc>
      </w:tr>
      <w:tr w:rsidR="005C0B94" w:rsidRPr="001037CC" w14:paraId="619BE40D" w14:textId="0AB81ACD" w:rsidTr="00C27A12">
        <w:trPr>
          <w:trHeight w:val="288"/>
        </w:trPr>
        <w:tc>
          <w:tcPr>
            <w:tcW w:w="1124" w:type="dxa"/>
            <w:noWrap/>
            <w:hideMark/>
          </w:tcPr>
          <w:p w14:paraId="247179CC" w14:textId="77777777"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blame</w:t>
            </w:r>
          </w:p>
        </w:tc>
        <w:tc>
          <w:tcPr>
            <w:tcW w:w="960" w:type="dxa"/>
            <w:noWrap/>
            <w:hideMark/>
          </w:tcPr>
          <w:p w14:paraId="305A538A" w14:textId="77777777"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1.19</w:t>
            </w:r>
          </w:p>
        </w:tc>
        <w:tc>
          <w:tcPr>
            <w:tcW w:w="891" w:type="dxa"/>
          </w:tcPr>
          <w:p w14:paraId="0BCF9F91" w14:textId="77777777" w:rsidR="005C0B94" w:rsidRPr="001037CC" w:rsidRDefault="005C0B94" w:rsidP="00D56AFB">
            <w:pPr>
              <w:spacing w:line="480" w:lineRule="auto"/>
              <w:rPr>
                <w:rFonts w:ascii="Times New Roman" w:eastAsia="Times New Roman" w:hAnsi="Times New Roman" w:cs="Times New Roman"/>
                <w:sz w:val="24"/>
                <w:szCs w:val="24"/>
              </w:rPr>
            </w:pPr>
          </w:p>
        </w:tc>
        <w:tc>
          <w:tcPr>
            <w:tcW w:w="960" w:type="dxa"/>
            <w:noWrap/>
            <w:hideMark/>
          </w:tcPr>
          <w:p w14:paraId="1443931A" w14:textId="2199293C"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1.07</w:t>
            </w:r>
          </w:p>
        </w:tc>
        <w:tc>
          <w:tcPr>
            <w:tcW w:w="960" w:type="dxa"/>
            <w:noWrap/>
            <w:hideMark/>
          </w:tcPr>
          <w:p w14:paraId="7F6F083C" w14:textId="77777777"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1.69</w:t>
            </w:r>
          </w:p>
        </w:tc>
        <w:tc>
          <w:tcPr>
            <w:tcW w:w="891" w:type="dxa"/>
          </w:tcPr>
          <w:p w14:paraId="6B65E56B" w14:textId="77777777" w:rsidR="005C0B94" w:rsidRPr="001037CC" w:rsidRDefault="005C0B94" w:rsidP="00D56AFB">
            <w:pPr>
              <w:spacing w:line="480" w:lineRule="auto"/>
              <w:rPr>
                <w:rFonts w:ascii="Times New Roman" w:eastAsia="Times New Roman" w:hAnsi="Times New Roman" w:cs="Times New Roman"/>
                <w:sz w:val="24"/>
                <w:szCs w:val="24"/>
              </w:rPr>
            </w:pPr>
          </w:p>
        </w:tc>
        <w:tc>
          <w:tcPr>
            <w:tcW w:w="891" w:type="dxa"/>
          </w:tcPr>
          <w:p w14:paraId="72850E31" w14:textId="5271BC17" w:rsidR="005C0B94" w:rsidRPr="00800692" w:rsidRDefault="005C0B94" w:rsidP="00D56AFB">
            <w:pPr>
              <w:spacing w:line="480" w:lineRule="auto"/>
              <w:rPr>
                <w:rFonts w:ascii="Times New Roman" w:eastAsia="Times New Roman" w:hAnsi="Times New Roman" w:cs="Times New Roman"/>
                <w:sz w:val="24"/>
                <w:szCs w:val="24"/>
              </w:rPr>
            </w:pPr>
            <w:r w:rsidRPr="00800692">
              <w:rPr>
                <w:rFonts w:ascii="Times New Roman" w:hAnsi="Times New Roman" w:cs="Times New Roman"/>
              </w:rPr>
              <w:t>0.10</w:t>
            </w:r>
          </w:p>
        </w:tc>
        <w:tc>
          <w:tcPr>
            <w:tcW w:w="891" w:type="dxa"/>
          </w:tcPr>
          <w:p w14:paraId="019B5D0B" w14:textId="77777777" w:rsidR="005C0B94" w:rsidRPr="00800692" w:rsidRDefault="005C0B94" w:rsidP="00D56AFB">
            <w:pPr>
              <w:spacing w:line="480" w:lineRule="auto"/>
              <w:rPr>
                <w:rFonts w:ascii="Times New Roman" w:eastAsia="Times New Roman" w:hAnsi="Times New Roman" w:cs="Times New Roman"/>
                <w:sz w:val="24"/>
                <w:szCs w:val="24"/>
              </w:rPr>
            </w:pPr>
          </w:p>
        </w:tc>
        <w:tc>
          <w:tcPr>
            <w:tcW w:w="891" w:type="dxa"/>
          </w:tcPr>
          <w:p w14:paraId="0813E451" w14:textId="45635970" w:rsidR="005C0B94" w:rsidRPr="00800692" w:rsidRDefault="005C0B94" w:rsidP="00D56AFB">
            <w:pPr>
              <w:spacing w:line="480" w:lineRule="auto"/>
              <w:rPr>
                <w:rFonts w:ascii="Times New Roman" w:eastAsia="Times New Roman" w:hAnsi="Times New Roman" w:cs="Times New Roman"/>
                <w:sz w:val="24"/>
                <w:szCs w:val="24"/>
              </w:rPr>
            </w:pPr>
            <w:r w:rsidRPr="00800692">
              <w:rPr>
                <w:rFonts w:ascii="Times New Roman" w:hAnsi="Times New Roman" w:cs="Times New Roman"/>
              </w:rPr>
              <w:t>-0.19</w:t>
            </w:r>
          </w:p>
        </w:tc>
        <w:tc>
          <w:tcPr>
            <w:tcW w:w="891" w:type="dxa"/>
          </w:tcPr>
          <w:p w14:paraId="53E8EF55" w14:textId="7FAC8B97" w:rsidR="005C0B94" w:rsidRPr="00800692" w:rsidRDefault="005C0B94" w:rsidP="00D56AFB">
            <w:pPr>
              <w:spacing w:line="480" w:lineRule="auto"/>
              <w:rPr>
                <w:rFonts w:ascii="Times New Roman" w:eastAsia="Times New Roman" w:hAnsi="Times New Roman" w:cs="Times New Roman"/>
                <w:sz w:val="24"/>
                <w:szCs w:val="24"/>
              </w:rPr>
            </w:pPr>
            <w:r w:rsidRPr="00800692">
              <w:rPr>
                <w:rFonts w:ascii="Times New Roman" w:hAnsi="Times New Roman" w:cs="Times New Roman"/>
              </w:rPr>
              <w:t>1.30</w:t>
            </w:r>
          </w:p>
        </w:tc>
      </w:tr>
      <w:tr w:rsidR="005C0B94" w:rsidRPr="001037CC" w14:paraId="37D8CEAD" w14:textId="37911864" w:rsidTr="00C27A12">
        <w:trPr>
          <w:trHeight w:val="288"/>
        </w:trPr>
        <w:tc>
          <w:tcPr>
            <w:tcW w:w="1124" w:type="dxa"/>
            <w:noWrap/>
            <w:hideMark/>
          </w:tcPr>
          <w:p w14:paraId="3488A31C" w14:textId="77777777"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kill</w:t>
            </w:r>
          </w:p>
        </w:tc>
        <w:tc>
          <w:tcPr>
            <w:tcW w:w="960" w:type="dxa"/>
            <w:noWrap/>
            <w:hideMark/>
          </w:tcPr>
          <w:p w14:paraId="78E64196" w14:textId="77777777"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1.19</w:t>
            </w:r>
          </w:p>
        </w:tc>
        <w:tc>
          <w:tcPr>
            <w:tcW w:w="891" w:type="dxa"/>
          </w:tcPr>
          <w:p w14:paraId="7BEC7999" w14:textId="77777777" w:rsidR="005C0B94" w:rsidRPr="001037CC" w:rsidRDefault="005C0B94" w:rsidP="00D56AFB">
            <w:pPr>
              <w:spacing w:line="480" w:lineRule="auto"/>
              <w:rPr>
                <w:rFonts w:ascii="Times New Roman" w:eastAsia="Times New Roman" w:hAnsi="Times New Roman" w:cs="Times New Roman"/>
                <w:sz w:val="24"/>
                <w:szCs w:val="24"/>
              </w:rPr>
            </w:pPr>
          </w:p>
        </w:tc>
        <w:tc>
          <w:tcPr>
            <w:tcW w:w="960" w:type="dxa"/>
            <w:noWrap/>
            <w:hideMark/>
          </w:tcPr>
          <w:p w14:paraId="346EFE38" w14:textId="7B4AB41B"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1.2</w:t>
            </w:r>
          </w:p>
        </w:tc>
        <w:tc>
          <w:tcPr>
            <w:tcW w:w="960" w:type="dxa"/>
            <w:noWrap/>
            <w:hideMark/>
          </w:tcPr>
          <w:p w14:paraId="211B8562" w14:textId="77777777"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0.93</w:t>
            </w:r>
          </w:p>
        </w:tc>
        <w:tc>
          <w:tcPr>
            <w:tcW w:w="891" w:type="dxa"/>
          </w:tcPr>
          <w:p w14:paraId="1654B2FD" w14:textId="77777777" w:rsidR="005C0B94" w:rsidRPr="001037CC" w:rsidRDefault="005C0B94" w:rsidP="00D56AFB">
            <w:pPr>
              <w:spacing w:line="480" w:lineRule="auto"/>
              <w:rPr>
                <w:rFonts w:ascii="Times New Roman" w:eastAsia="Times New Roman" w:hAnsi="Times New Roman" w:cs="Times New Roman"/>
                <w:sz w:val="24"/>
                <w:szCs w:val="24"/>
              </w:rPr>
            </w:pPr>
          </w:p>
        </w:tc>
        <w:tc>
          <w:tcPr>
            <w:tcW w:w="891" w:type="dxa"/>
          </w:tcPr>
          <w:p w14:paraId="2C6D2598" w14:textId="7049A262" w:rsidR="005C0B94" w:rsidRPr="00800692" w:rsidRDefault="005C0B94" w:rsidP="00D56AFB">
            <w:pPr>
              <w:spacing w:line="480" w:lineRule="auto"/>
              <w:rPr>
                <w:rFonts w:ascii="Times New Roman" w:eastAsia="Times New Roman" w:hAnsi="Times New Roman" w:cs="Times New Roman"/>
                <w:sz w:val="24"/>
                <w:szCs w:val="24"/>
              </w:rPr>
            </w:pPr>
            <w:r w:rsidRPr="00800692">
              <w:rPr>
                <w:rFonts w:ascii="Times New Roman" w:hAnsi="Times New Roman" w:cs="Times New Roman"/>
              </w:rPr>
              <w:t>0.81</w:t>
            </w:r>
          </w:p>
        </w:tc>
        <w:tc>
          <w:tcPr>
            <w:tcW w:w="891" w:type="dxa"/>
          </w:tcPr>
          <w:p w14:paraId="72B07415" w14:textId="77777777" w:rsidR="005C0B94" w:rsidRPr="00800692" w:rsidRDefault="005C0B94" w:rsidP="00D56AFB">
            <w:pPr>
              <w:spacing w:line="480" w:lineRule="auto"/>
              <w:rPr>
                <w:rFonts w:ascii="Times New Roman" w:eastAsia="Times New Roman" w:hAnsi="Times New Roman" w:cs="Times New Roman"/>
                <w:sz w:val="24"/>
                <w:szCs w:val="24"/>
              </w:rPr>
            </w:pPr>
          </w:p>
        </w:tc>
        <w:tc>
          <w:tcPr>
            <w:tcW w:w="891" w:type="dxa"/>
          </w:tcPr>
          <w:p w14:paraId="44F2389A" w14:textId="0F6AE998" w:rsidR="005C0B94" w:rsidRPr="00800692" w:rsidRDefault="005C0B94" w:rsidP="00D56AFB">
            <w:pPr>
              <w:spacing w:line="480" w:lineRule="auto"/>
              <w:rPr>
                <w:rFonts w:ascii="Times New Roman" w:eastAsia="Times New Roman" w:hAnsi="Times New Roman" w:cs="Times New Roman"/>
                <w:sz w:val="24"/>
                <w:szCs w:val="24"/>
              </w:rPr>
            </w:pPr>
            <w:r w:rsidRPr="00800692">
              <w:rPr>
                <w:rFonts w:ascii="Times New Roman" w:hAnsi="Times New Roman" w:cs="Times New Roman"/>
              </w:rPr>
              <w:t>0.89</w:t>
            </w:r>
          </w:p>
        </w:tc>
        <w:tc>
          <w:tcPr>
            <w:tcW w:w="891" w:type="dxa"/>
          </w:tcPr>
          <w:p w14:paraId="546174B1" w14:textId="19740CCE" w:rsidR="005C0B94" w:rsidRPr="00800692" w:rsidRDefault="005C0B94" w:rsidP="00D56AFB">
            <w:pPr>
              <w:spacing w:line="480" w:lineRule="auto"/>
              <w:rPr>
                <w:rFonts w:ascii="Times New Roman" w:eastAsia="Times New Roman" w:hAnsi="Times New Roman" w:cs="Times New Roman"/>
                <w:sz w:val="24"/>
                <w:szCs w:val="24"/>
              </w:rPr>
            </w:pPr>
            <w:r w:rsidRPr="00800692">
              <w:rPr>
                <w:rFonts w:ascii="Times New Roman" w:hAnsi="Times New Roman" w:cs="Times New Roman"/>
              </w:rPr>
              <w:t>0.91</w:t>
            </w:r>
          </w:p>
        </w:tc>
      </w:tr>
      <w:tr w:rsidR="005C0B94" w:rsidRPr="001037CC" w14:paraId="14A0234F" w14:textId="033D1581" w:rsidTr="00C27A12">
        <w:trPr>
          <w:trHeight w:val="288"/>
        </w:trPr>
        <w:tc>
          <w:tcPr>
            <w:tcW w:w="1124" w:type="dxa"/>
            <w:noWrap/>
            <w:hideMark/>
          </w:tcPr>
          <w:p w14:paraId="137DA708" w14:textId="77777777"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cry</w:t>
            </w:r>
          </w:p>
        </w:tc>
        <w:tc>
          <w:tcPr>
            <w:tcW w:w="960" w:type="dxa"/>
            <w:noWrap/>
            <w:hideMark/>
          </w:tcPr>
          <w:p w14:paraId="567D8BC3" w14:textId="77777777"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1.62</w:t>
            </w:r>
          </w:p>
        </w:tc>
        <w:tc>
          <w:tcPr>
            <w:tcW w:w="891" w:type="dxa"/>
          </w:tcPr>
          <w:p w14:paraId="794B5F9E" w14:textId="77777777" w:rsidR="005C0B94" w:rsidRPr="001037CC" w:rsidRDefault="005C0B94" w:rsidP="00D56AFB">
            <w:pPr>
              <w:spacing w:line="480" w:lineRule="auto"/>
              <w:rPr>
                <w:rFonts w:ascii="Times New Roman" w:eastAsia="Times New Roman" w:hAnsi="Times New Roman" w:cs="Times New Roman"/>
                <w:sz w:val="24"/>
                <w:szCs w:val="24"/>
              </w:rPr>
            </w:pPr>
          </w:p>
        </w:tc>
        <w:tc>
          <w:tcPr>
            <w:tcW w:w="960" w:type="dxa"/>
            <w:noWrap/>
            <w:hideMark/>
          </w:tcPr>
          <w:p w14:paraId="296797F9" w14:textId="04382761"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1.56</w:t>
            </w:r>
          </w:p>
        </w:tc>
        <w:tc>
          <w:tcPr>
            <w:tcW w:w="960" w:type="dxa"/>
            <w:noWrap/>
            <w:hideMark/>
          </w:tcPr>
          <w:p w14:paraId="063E0706" w14:textId="77777777"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1.67</w:t>
            </w:r>
          </w:p>
        </w:tc>
        <w:tc>
          <w:tcPr>
            <w:tcW w:w="891" w:type="dxa"/>
          </w:tcPr>
          <w:p w14:paraId="60B6901C" w14:textId="77777777" w:rsidR="005C0B94" w:rsidRPr="001037CC" w:rsidRDefault="005C0B94" w:rsidP="00D56AFB">
            <w:pPr>
              <w:spacing w:line="480" w:lineRule="auto"/>
              <w:rPr>
                <w:rFonts w:ascii="Times New Roman" w:eastAsia="Times New Roman" w:hAnsi="Times New Roman" w:cs="Times New Roman"/>
                <w:sz w:val="24"/>
                <w:szCs w:val="24"/>
              </w:rPr>
            </w:pPr>
          </w:p>
        </w:tc>
        <w:tc>
          <w:tcPr>
            <w:tcW w:w="891" w:type="dxa"/>
          </w:tcPr>
          <w:p w14:paraId="7E1296C6" w14:textId="53E7763F" w:rsidR="005C0B94" w:rsidRPr="00800692" w:rsidRDefault="005C0B94" w:rsidP="00D56AFB">
            <w:pPr>
              <w:spacing w:line="480" w:lineRule="auto"/>
              <w:rPr>
                <w:rFonts w:ascii="Times New Roman" w:eastAsia="Times New Roman" w:hAnsi="Times New Roman" w:cs="Times New Roman"/>
                <w:sz w:val="24"/>
                <w:szCs w:val="24"/>
              </w:rPr>
            </w:pPr>
            <w:r w:rsidRPr="00800692">
              <w:rPr>
                <w:rFonts w:ascii="Times New Roman" w:hAnsi="Times New Roman" w:cs="Times New Roman"/>
              </w:rPr>
              <w:t>0.60</w:t>
            </w:r>
          </w:p>
        </w:tc>
        <w:tc>
          <w:tcPr>
            <w:tcW w:w="891" w:type="dxa"/>
          </w:tcPr>
          <w:p w14:paraId="2E31F6C8" w14:textId="77777777" w:rsidR="005C0B94" w:rsidRPr="00800692" w:rsidRDefault="005C0B94" w:rsidP="00D56AFB">
            <w:pPr>
              <w:spacing w:line="480" w:lineRule="auto"/>
              <w:rPr>
                <w:rFonts w:ascii="Times New Roman" w:eastAsia="Times New Roman" w:hAnsi="Times New Roman" w:cs="Times New Roman"/>
                <w:sz w:val="24"/>
                <w:szCs w:val="24"/>
              </w:rPr>
            </w:pPr>
          </w:p>
        </w:tc>
        <w:tc>
          <w:tcPr>
            <w:tcW w:w="891" w:type="dxa"/>
          </w:tcPr>
          <w:p w14:paraId="5F52BDA6" w14:textId="13901FC6" w:rsidR="005C0B94" w:rsidRPr="00800692" w:rsidRDefault="005C0B94" w:rsidP="00D56AFB">
            <w:pPr>
              <w:spacing w:line="480" w:lineRule="auto"/>
              <w:rPr>
                <w:rFonts w:ascii="Times New Roman" w:eastAsia="Times New Roman" w:hAnsi="Times New Roman" w:cs="Times New Roman"/>
                <w:sz w:val="24"/>
                <w:szCs w:val="24"/>
              </w:rPr>
            </w:pPr>
            <w:r w:rsidRPr="00800692">
              <w:rPr>
                <w:rFonts w:ascii="Times New Roman" w:hAnsi="Times New Roman" w:cs="Times New Roman"/>
              </w:rPr>
              <w:t>0.13</w:t>
            </w:r>
          </w:p>
        </w:tc>
        <w:tc>
          <w:tcPr>
            <w:tcW w:w="891" w:type="dxa"/>
          </w:tcPr>
          <w:p w14:paraId="596EA358" w14:textId="141BF283" w:rsidR="005C0B94" w:rsidRPr="00800692" w:rsidRDefault="005C0B94" w:rsidP="00D56AFB">
            <w:pPr>
              <w:spacing w:line="480" w:lineRule="auto"/>
              <w:rPr>
                <w:rFonts w:ascii="Times New Roman" w:eastAsia="Times New Roman" w:hAnsi="Times New Roman" w:cs="Times New Roman"/>
                <w:sz w:val="24"/>
                <w:szCs w:val="24"/>
              </w:rPr>
            </w:pPr>
            <w:r w:rsidRPr="00800692">
              <w:rPr>
                <w:rFonts w:ascii="Times New Roman" w:hAnsi="Times New Roman" w:cs="Times New Roman"/>
              </w:rPr>
              <w:t>1.31</w:t>
            </w:r>
          </w:p>
        </w:tc>
      </w:tr>
      <w:tr w:rsidR="005C0B94" w:rsidRPr="001037CC" w14:paraId="0B889039" w14:textId="2BF0EA60" w:rsidTr="00C27A12">
        <w:trPr>
          <w:trHeight w:val="288"/>
        </w:trPr>
        <w:tc>
          <w:tcPr>
            <w:tcW w:w="1124" w:type="dxa"/>
            <w:noWrap/>
            <w:hideMark/>
          </w:tcPr>
          <w:p w14:paraId="5E775508" w14:textId="77777777"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annoy</w:t>
            </w:r>
          </w:p>
        </w:tc>
        <w:tc>
          <w:tcPr>
            <w:tcW w:w="960" w:type="dxa"/>
            <w:noWrap/>
            <w:hideMark/>
          </w:tcPr>
          <w:p w14:paraId="2305EAC0" w14:textId="77777777"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1.07</w:t>
            </w:r>
          </w:p>
        </w:tc>
        <w:tc>
          <w:tcPr>
            <w:tcW w:w="891" w:type="dxa"/>
          </w:tcPr>
          <w:p w14:paraId="08B09409" w14:textId="77777777" w:rsidR="005C0B94" w:rsidRPr="001037CC" w:rsidRDefault="005C0B94" w:rsidP="00D56AFB">
            <w:pPr>
              <w:spacing w:line="480" w:lineRule="auto"/>
              <w:rPr>
                <w:rFonts w:ascii="Times New Roman" w:eastAsia="Times New Roman" w:hAnsi="Times New Roman" w:cs="Times New Roman"/>
                <w:sz w:val="24"/>
                <w:szCs w:val="24"/>
              </w:rPr>
            </w:pPr>
          </w:p>
        </w:tc>
        <w:tc>
          <w:tcPr>
            <w:tcW w:w="960" w:type="dxa"/>
            <w:noWrap/>
            <w:hideMark/>
          </w:tcPr>
          <w:p w14:paraId="350B8F3C" w14:textId="49562404"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1.17</w:t>
            </w:r>
          </w:p>
        </w:tc>
        <w:tc>
          <w:tcPr>
            <w:tcW w:w="960" w:type="dxa"/>
            <w:noWrap/>
            <w:hideMark/>
          </w:tcPr>
          <w:p w14:paraId="1782AF37" w14:textId="77777777"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-0.23</w:t>
            </w:r>
          </w:p>
        </w:tc>
        <w:tc>
          <w:tcPr>
            <w:tcW w:w="891" w:type="dxa"/>
          </w:tcPr>
          <w:p w14:paraId="243A0762" w14:textId="77777777" w:rsidR="005C0B94" w:rsidRPr="001037CC" w:rsidRDefault="005C0B94" w:rsidP="00D56AFB">
            <w:pPr>
              <w:spacing w:line="480" w:lineRule="auto"/>
              <w:rPr>
                <w:rFonts w:ascii="Times New Roman" w:eastAsia="Times New Roman" w:hAnsi="Times New Roman" w:cs="Times New Roman"/>
                <w:sz w:val="24"/>
                <w:szCs w:val="24"/>
              </w:rPr>
            </w:pPr>
          </w:p>
        </w:tc>
        <w:tc>
          <w:tcPr>
            <w:tcW w:w="891" w:type="dxa"/>
          </w:tcPr>
          <w:p w14:paraId="6DD052D9" w14:textId="71B03769" w:rsidR="005C0B94" w:rsidRPr="00800692" w:rsidRDefault="005C0B94" w:rsidP="00D56AFB">
            <w:pPr>
              <w:spacing w:line="480" w:lineRule="auto"/>
              <w:rPr>
                <w:rFonts w:ascii="Times New Roman" w:eastAsia="Times New Roman" w:hAnsi="Times New Roman" w:cs="Times New Roman"/>
                <w:sz w:val="24"/>
                <w:szCs w:val="24"/>
              </w:rPr>
            </w:pPr>
            <w:r w:rsidRPr="00800692">
              <w:rPr>
                <w:rFonts w:ascii="Times New Roman" w:hAnsi="Times New Roman" w:cs="Times New Roman"/>
              </w:rPr>
              <w:t>0.53</w:t>
            </w:r>
          </w:p>
        </w:tc>
        <w:tc>
          <w:tcPr>
            <w:tcW w:w="891" w:type="dxa"/>
          </w:tcPr>
          <w:p w14:paraId="37C39503" w14:textId="77777777" w:rsidR="005C0B94" w:rsidRPr="00800692" w:rsidRDefault="005C0B94" w:rsidP="00D56AFB">
            <w:pPr>
              <w:spacing w:line="480" w:lineRule="auto"/>
              <w:rPr>
                <w:rFonts w:ascii="Times New Roman" w:eastAsia="Times New Roman" w:hAnsi="Times New Roman" w:cs="Times New Roman"/>
                <w:sz w:val="24"/>
                <w:szCs w:val="24"/>
              </w:rPr>
            </w:pPr>
          </w:p>
        </w:tc>
        <w:tc>
          <w:tcPr>
            <w:tcW w:w="891" w:type="dxa"/>
          </w:tcPr>
          <w:p w14:paraId="04D0BF20" w14:textId="1B1FA136" w:rsidR="005C0B94" w:rsidRPr="00800692" w:rsidRDefault="005C0B94" w:rsidP="00D56AFB">
            <w:pPr>
              <w:spacing w:line="480" w:lineRule="auto"/>
              <w:rPr>
                <w:rFonts w:ascii="Times New Roman" w:eastAsia="Times New Roman" w:hAnsi="Times New Roman" w:cs="Times New Roman"/>
                <w:sz w:val="24"/>
                <w:szCs w:val="24"/>
              </w:rPr>
            </w:pPr>
            <w:r w:rsidRPr="00800692">
              <w:rPr>
                <w:rFonts w:ascii="Times New Roman" w:hAnsi="Times New Roman" w:cs="Times New Roman"/>
              </w:rPr>
              <w:t>0.39</w:t>
            </w:r>
          </w:p>
        </w:tc>
        <w:tc>
          <w:tcPr>
            <w:tcW w:w="891" w:type="dxa"/>
          </w:tcPr>
          <w:p w14:paraId="545C3EA3" w14:textId="0F333D7F" w:rsidR="005C0B94" w:rsidRPr="00800692" w:rsidRDefault="005C0B94" w:rsidP="00D56AFB">
            <w:pPr>
              <w:spacing w:line="480" w:lineRule="auto"/>
              <w:rPr>
                <w:rFonts w:ascii="Times New Roman" w:eastAsia="Times New Roman" w:hAnsi="Times New Roman" w:cs="Times New Roman"/>
                <w:sz w:val="24"/>
                <w:szCs w:val="24"/>
              </w:rPr>
            </w:pPr>
            <w:r w:rsidRPr="00800692">
              <w:rPr>
                <w:rFonts w:ascii="Times New Roman" w:hAnsi="Times New Roman" w:cs="Times New Roman"/>
              </w:rPr>
              <w:t>0.13</w:t>
            </w:r>
          </w:p>
        </w:tc>
      </w:tr>
      <w:tr w:rsidR="005C0B94" w:rsidRPr="001037CC" w14:paraId="6F446980" w14:textId="4E821CF9" w:rsidTr="00C27A12">
        <w:trPr>
          <w:trHeight w:val="288"/>
        </w:trPr>
        <w:tc>
          <w:tcPr>
            <w:tcW w:w="1124" w:type="dxa"/>
            <w:noWrap/>
            <w:hideMark/>
          </w:tcPr>
          <w:p w14:paraId="111199E0" w14:textId="77777777"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interest</w:t>
            </w:r>
          </w:p>
        </w:tc>
        <w:tc>
          <w:tcPr>
            <w:tcW w:w="960" w:type="dxa"/>
            <w:noWrap/>
            <w:hideMark/>
          </w:tcPr>
          <w:p w14:paraId="6B48DE92" w14:textId="77777777"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1.86</w:t>
            </w:r>
          </w:p>
        </w:tc>
        <w:tc>
          <w:tcPr>
            <w:tcW w:w="891" w:type="dxa"/>
          </w:tcPr>
          <w:p w14:paraId="3C93D487" w14:textId="77777777" w:rsidR="005C0B94" w:rsidRPr="001037CC" w:rsidRDefault="005C0B94" w:rsidP="00D56AFB">
            <w:pPr>
              <w:spacing w:line="480" w:lineRule="auto"/>
              <w:rPr>
                <w:rFonts w:ascii="Times New Roman" w:eastAsia="Times New Roman" w:hAnsi="Times New Roman" w:cs="Times New Roman"/>
                <w:sz w:val="24"/>
                <w:szCs w:val="24"/>
              </w:rPr>
            </w:pPr>
          </w:p>
        </w:tc>
        <w:tc>
          <w:tcPr>
            <w:tcW w:w="960" w:type="dxa"/>
            <w:noWrap/>
            <w:hideMark/>
          </w:tcPr>
          <w:p w14:paraId="658F69B8" w14:textId="22D0BA9D"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1.88</w:t>
            </w:r>
          </w:p>
        </w:tc>
        <w:tc>
          <w:tcPr>
            <w:tcW w:w="960" w:type="dxa"/>
            <w:noWrap/>
            <w:hideMark/>
          </w:tcPr>
          <w:p w14:paraId="49D79A39" w14:textId="77777777"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1.35</w:t>
            </w:r>
          </w:p>
        </w:tc>
        <w:tc>
          <w:tcPr>
            <w:tcW w:w="891" w:type="dxa"/>
          </w:tcPr>
          <w:p w14:paraId="0C05AEA9" w14:textId="77777777" w:rsidR="005C0B94" w:rsidRPr="001037CC" w:rsidRDefault="005C0B94" w:rsidP="00D56AFB">
            <w:pPr>
              <w:spacing w:line="480" w:lineRule="auto"/>
              <w:rPr>
                <w:rFonts w:ascii="Times New Roman" w:eastAsia="Times New Roman" w:hAnsi="Times New Roman" w:cs="Times New Roman"/>
                <w:sz w:val="24"/>
                <w:szCs w:val="24"/>
              </w:rPr>
            </w:pPr>
          </w:p>
        </w:tc>
        <w:tc>
          <w:tcPr>
            <w:tcW w:w="891" w:type="dxa"/>
          </w:tcPr>
          <w:p w14:paraId="04E462D2" w14:textId="104A9FE6" w:rsidR="005C0B94" w:rsidRPr="00800692" w:rsidRDefault="005C0B94" w:rsidP="00D56AFB">
            <w:pPr>
              <w:spacing w:line="480" w:lineRule="auto"/>
              <w:rPr>
                <w:rFonts w:ascii="Times New Roman" w:eastAsia="Times New Roman" w:hAnsi="Times New Roman" w:cs="Times New Roman"/>
                <w:sz w:val="24"/>
                <w:szCs w:val="24"/>
              </w:rPr>
            </w:pPr>
            <w:r w:rsidRPr="00800692">
              <w:rPr>
                <w:rFonts w:ascii="Times New Roman" w:hAnsi="Times New Roman" w:cs="Times New Roman"/>
              </w:rPr>
              <w:t>0.71</w:t>
            </w:r>
          </w:p>
        </w:tc>
        <w:tc>
          <w:tcPr>
            <w:tcW w:w="891" w:type="dxa"/>
          </w:tcPr>
          <w:p w14:paraId="2812E16F" w14:textId="77777777" w:rsidR="005C0B94" w:rsidRPr="00800692" w:rsidRDefault="005C0B94" w:rsidP="00D56AFB">
            <w:pPr>
              <w:spacing w:line="480" w:lineRule="auto"/>
              <w:rPr>
                <w:rFonts w:ascii="Times New Roman" w:eastAsia="Times New Roman" w:hAnsi="Times New Roman" w:cs="Times New Roman"/>
                <w:sz w:val="24"/>
                <w:szCs w:val="24"/>
              </w:rPr>
            </w:pPr>
          </w:p>
        </w:tc>
        <w:tc>
          <w:tcPr>
            <w:tcW w:w="891" w:type="dxa"/>
          </w:tcPr>
          <w:p w14:paraId="04B4A1E9" w14:textId="27784386" w:rsidR="005C0B94" w:rsidRPr="00800692" w:rsidRDefault="005C0B94" w:rsidP="00D56AFB">
            <w:pPr>
              <w:spacing w:line="480" w:lineRule="auto"/>
              <w:rPr>
                <w:rFonts w:ascii="Times New Roman" w:eastAsia="Times New Roman" w:hAnsi="Times New Roman" w:cs="Times New Roman"/>
                <w:sz w:val="24"/>
                <w:szCs w:val="24"/>
              </w:rPr>
            </w:pPr>
            <w:r w:rsidRPr="00800692">
              <w:rPr>
                <w:rFonts w:ascii="Times New Roman" w:hAnsi="Times New Roman" w:cs="Times New Roman"/>
              </w:rPr>
              <w:t>0.52</w:t>
            </w:r>
          </w:p>
        </w:tc>
        <w:tc>
          <w:tcPr>
            <w:tcW w:w="891" w:type="dxa"/>
          </w:tcPr>
          <w:p w14:paraId="709E4BBB" w14:textId="3BCAE390" w:rsidR="005C0B94" w:rsidRPr="00800692" w:rsidRDefault="005C0B94" w:rsidP="00D56AFB">
            <w:pPr>
              <w:spacing w:line="480" w:lineRule="auto"/>
              <w:rPr>
                <w:rFonts w:ascii="Times New Roman" w:eastAsia="Times New Roman" w:hAnsi="Times New Roman" w:cs="Times New Roman"/>
                <w:sz w:val="24"/>
                <w:szCs w:val="24"/>
              </w:rPr>
            </w:pPr>
            <w:r w:rsidRPr="00800692">
              <w:rPr>
                <w:rFonts w:ascii="Times New Roman" w:hAnsi="Times New Roman" w:cs="Times New Roman"/>
              </w:rPr>
              <w:t>0.86</w:t>
            </w:r>
          </w:p>
        </w:tc>
      </w:tr>
      <w:tr w:rsidR="005C0B94" w:rsidRPr="001037CC" w14:paraId="7EB913E2" w14:textId="1C4EFE5E" w:rsidTr="00C27A12">
        <w:trPr>
          <w:trHeight w:val="288"/>
        </w:trPr>
        <w:tc>
          <w:tcPr>
            <w:tcW w:w="1124" w:type="dxa"/>
            <w:noWrap/>
            <w:hideMark/>
          </w:tcPr>
          <w:p w14:paraId="2E9049D0" w14:textId="77777777"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decide</w:t>
            </w:r>
          </w:p>
        </w:tc>
        <w:tc>
          <w:tcPr>
            <w:tcW w:w="960" w:type="dxa"/>
            <w:noWrap/>
            <w:hideMark/>
          </w:tcPr>
          <w:p w14:paraId="706C8335" w14:textId="77777777"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2.14</w:t>
            </w:r>
          </w:p>
        </w:tc>
        <w:tc>
          <w:tcPr>
            <w:tcW w:w="891" w:type="dxa"/>
          </w:tcPr>
          <w:p w14:paraId="6B60FF21" w14:textId="77777777" w:rsidR="005C0B94" w:rsidRPr="001037CC" w:rsidRDefault="005C0B94" w:rsidP="00D56AFB">
            <w:pPr>
              <w:spacing w:line="480" w:lineRule="auto"/>
              <w:rPr>
                <w:rFonts w:ascii="Times New Roman" w:eastAsia="Times New Roman" w:hAnsi="Times New Roman" w:cs="Times New Roman"/>
                <w:sz w:val="24"/>
                <w:szCs w:val="24"/>
              </w:rPr>
            </w:pPr>
          </w:p>
        </w:tc>
        <w:tc>
          <w:tcPr>
            <w:tcW w:w="960" w:type="dxa"/>
            <w:noWrap/>
            <w:hideMark/>
          </w:tcPr>
          <w:p w14:paraId="0DF26F82" w14:textId="11B517DC"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2.12</w:t>
            </w:r>
          </w:p>
        </w:tc>
        <w:tc>
          <w:tcPr>
            <w:tcW w:w="960" w:type="dxa"/>
            <w:noWrap/>
            <w:hideMark/>
          </w:tcPr>
          <w:p w14:paraId="28AC8D65" w14:textId="77777777"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1.43</w:t>
            </w:r>
          </w:p>
        </w:tc>
        <w:tc>
          <w:tcPr>
            <w:tcW w:w="891" w:type="dxa"/>
          </w:tcPr>
          <w:p w14:paraId="712492E7" w14:textId="77777777" w:rsidR="005C0B94" w:rsidRPr="001037CC" w:rsidRDefault="005C0B94" w:rsidP="00D56AFB">
            <w:pPr>
              <w:spacing w:line="480" w:lineRule="auto"/>
              <w:rPr>
                <w:rFonts w:ascii="Times New Roman" w:eastAsia="Times New Roman" w:hAnsi="Times New Roman" w:cs="Times New Roman"/>
                <w:sz w:val="24"/>
                <w:szCs w:val="24"/>
              </w:rPr>
            </w:pPr>
          </w:p>
        </w:tc>
        <w:tc>
          <w:tcPr>
            <w:tcW w:w="891" w:type="dxa"/>
          </w:tcPr>
          <w:p w14:paraId="778D93F2" w14:textId="19E4EBA3" w:rsidR="005C0B94" w:rsidRPr="00800692" w:rsidRDefault="005C0B94" w:rsidP="00D56AFB">
            <w:pPr>
              <w:spacing w:line="480" w:lineRule="auto"/>
              <w:rPr>
                <w:rFonts w:ascii="Times New Roman" w:eastAsia="Times New Roman" w:hAnsi="Times New Roman" w:cs="Times New Roman"/>
                <w:sz w:val="24"/>
                <w:szCs w:val="24"/>
              </w:rPr>
            </w:pPr>
            <w:r w:rsidRPr="00800692">
              <w:rPr>
                <w:rFonts w:ascii="Times New Roman" w:hAnsi="Times New Roman" w:cs="Times New Roman"/>
              </w:rPr>
              <w:t>1.13</w:t>
            </w:r>
          </w:p>
        </w:tc>
        <w:tc>
          <w:tcPr>
            <w:tcW w:w="891" w:type="dxa"/>
          </w:tcPr>
          <w:p w14:paraId="47B6F3ED" w14:textId="77777777" w:rsidR="005C0B94" w:rsidRPr="00800692" w:rsidRDefault="005C0B94" w:rsidP="00D56AFB">
            <w:pPr>
              <w:spacing w:line="480" w:lineRule="auto"/>
              <w:rPr>
                <w:rFonts w:ascii="Times New Roman" w:eastAsia="Times New Roman" w:hAnsi="Times New Roman" w:cs="Times New Roman"/>
                <w:sz w:val="24"/>
                <w:szCs w:val="24"/>
              </w:rPr>
            </w:pPr>
          </w:p>
        </w:tc>
        <w:tc>
          <w:tcPr>
            <w:tcW w:w="891" w:type="dxa"/>
          </w:tcPr>
          <w:p w14:paraId="738A0A98" w14:textId="4BC33A47" w:rsidR="005C0B94" w:rsidRPr="00800692" w:rsidRDefault="005C0B94" w:rsidP="00D56AFB">
            <w:pPr>
              <w:spacing w:line="480" w:lineRule="auto"/>
              <w:rPr>
                <w:rFonts w:ascii="Times New Roman" w:eastAsia="Times New Roman" w:hAnsi="Times New Roman" w:cs="Times New Roman"/>
                <w:sz w:val="24"/>
                <w:szCs w:val="24"/>
              </w:rPr>
            </w:pPr>
            <w:r w:rsidRPr="00800692">
              <w:rPr>
                <w:rFonts w:ascii="Times New Roman" w:hAnsi="Times New Roman" w:cs="Times New Roman"/>
              </w:rPr>
              <w:t>0.77</w:t>
            </w:r>
          </w:p>
        </w:tc>
        <w:tc>
          <w:tcPr>
            <w:tcW w:w="891" w:type="dxa"/>
          </w:tcPr>
          <w:p w14:paraId="1D81219C" w14:textId="7188EE84" w:rsidR="005C0B94" w:rsidRPr="00800692" w:rsidRDefault="005C0B94" w:rsidP="00D56AFB">
            <w:pPr>
              <w:spacing w:line="480" w:lineRule="auto"/>
              <w:rPr>
                <w:rFonts w:ascii="Times New Roman" w:eastAsia="Times New Roman" w:hAnsi="Times New Roman" w:cs="Times New Roman"/>
                <w:sz w:val="24"/>
                <w:szCs w:val="24"/>
              </w:rPr>
            </w:pPr>
            <w:r w:rsidRPr="00800692">
              <w:rPr>
                <w:rFonts w:ascii="Times New Roman" w:hAnsi="Times New Roman" w:cs="Times New Roman"/>
              </w:rPr>
              <w:t>0.83</w:t>
            </w:r>
          </w:p>
        </w:tc>
      </w:tr>
      <w:tr w:rsidR="005C0B94" w:rsidRPr="001037CC" w14:paraId="24835B20" w14:textId="3652BA77" w:rsidTr="00C27A12">
        <w:trPr>
          <w:trHeight w:val="288"/>
        </w:trPr>
        <w:tc>
          <w:tcPr>
            <w:tcW w:w="1124" w:type="dxa"/>
            <w:noWrap/>
            <w:hideMark/>
          </w:tcPr>
          <w:p w14:paraId="1D3CCE26" w14:textId="77777777"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look</w:t>
            </w:r>
          </w:p>
        </w:tc>
        <w:tc>
          <w:tcPr>
            <w:tcW w:w="960" w:type="dxa"/>
            <w:noWrap/>
            <w:hideMark/>
          </w:tcPr>
          <w:p w14:paraId="40BD43D3" w14:textId="77777777"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1.56</w:t>
            </w:r>
          </w:p>
        </w:tc>
        <w:tc>
          <w:tcPr>
            <w:tcW w:w="891" w:type="dxa"/>
          </w:tcPr>
          <w:p w14:paraId="4F327812" w14:textId="77777777" w:rsidR="005C0B94" w:rsidRPr="001037CC" w:rsidRDefault="005C0B94" w:rsidP="00D56AFB">
            <w:pPr>
              <w:spacing w:line="480" w:lineRule="auto"/>
              <w:rPr>
                <w:rFonts w:ascii="Times New Roman" w:eastAsia="Times New Roman" w:hAnsi="Times New Roman" w:cs="Times New Roman"/>
                <w:sz w:val="24"/>
                <w:szCs w:val="24"/>
              </w:rPr>
            </w:pPr>
          </w:p>
        </w:tc>
        <w:tc>
          <w:tcPr>
            <w:tcW w:w="960" w:type="dxa"/>
            <w:noWrap/>
            <w:hideMark/>
          </w:tcPr>
          <w:p w14:paraId="37DFBC16" w14:textId="0A3C87CD"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1.57</w:t>
            </w:r>
          </w:p>
        </w:tc>
        <w:tc>
          <w:tcPr>
            <w:tcW w:w="960" w:type="dxa"/>
            <w:noWrap/>
            <w:hideMark/>
          </w:tcPr>
          <w:p w14:paraId="1D3F67F1" w14:textId="77777777"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0.92</w:t>
            </w:r>
          </w:p>
        </w:tc>
        <w:tc>
          <w:tcPr>
            <w:tcW w:w="891" w:type="dxa"/>
          </w:tcPr>
          <w:p w14:paraId="0414E23D" w14:textId="77777777" w:rsidR="005C0B94" w:rsidRPr="001037CC" w:rsidRDefault="005C0B94" w:rsidP="00D56AFB">
            <w:pPr>
              <w:spacing w:line="480" w:lineRule="auto"/>
              <w:rPr>
                <w:rFonts w:ascii="Times New Roman" w:eastAsia="Times New Roman" w:hAnsi="Times New Roman" w:cs="Times New Roman"/>
                <w:sz w:val="24"/>
                <w:szCs w:val="24"/>
              </w:rPr>
            </w:pPr>
          </w:p>
        </w:tc>
        <w:tc>
          <w:tcPr>
            <w:tcW w:w="891" w:type="dxa"/>
          </w:tcPr>
          <w:p w14:paraId="13C07D09" w14:textId="7E307EB7" w:rsidR="005C0B94" w:rsidRPr="00800692" w:rsidRDefault="005C0B94" w:rsidP="00D56AFB">
            <w:pPr>
              <w:spacing w:line="480" w:lineRule="auto"/>
              <w:rPr>
                <w:rFonts w:ascii="Times New Roman" w:eastAsia="Times New Roman" w:hAnsi="Times New Roman" w:cs="Times New Roman"/>
                <w:sz w:val="24"/>
                <w:szCs w:val="24"/>
              </w:rPr>
            </w:pPr>
            <w:r w:rsidRPr="00800692">
              <w:rPr>
                <w:rFonts w:ascii="Times New Roman" w:hAnsi="Times New Roman" w:cs="Times New Roman"/>
              </w:rPr>
              <w:t>0.57</w:t>
            </w:r>
          </w:p>
        </w:tc>
        <w:tc>
          <w:tcPr>
            <w:tcW w:w="891" w:type="dxa"/>
          </w:tcPr>
          <w:p w14:paraId="41E63A01" w14:textId="77777777" w:rsidR="005C0B94" w:rsidRPr="00800692" w:rsidRDefault="005C0B94" w:rsidP="00D56AFB">
            <w:pPr>
              <w:spacing w:line="480" w:lineRule="auto"/>
              <w:rPr>
                <w:rFonts w:ascii="Times New Roman" w:eastAsia="Times New Roman" w:hAnsi="Times New Roman" w:cs="Times New Roman"/>
                <w:sz w:val="24"/>
                <w:szCs w:val="24"/>
              </w:rPr>
            </w:pPr>
          </w:p>
        </w:tc>
        <w:tc>
          <w:tcPr>
            <w:tcW w:w="891" w:type="dxa"/>
          </w:tcPr>
          <w:p w14:paraId="4265F12E" w14:textId="1B9FA464" w:rsidR="005C0B94" w:rsidRPr="00800692" w:rsidRDefault="005C0B94" w:rsidP="00D56AFB">
            <w:pPr>
              <w:spacing w:line="480" w:lineRule="auto"/>
              <w:rPr>
                <w:rFonts w:ascii="Times New Roman" w:eastAsia="Times New Roman" w:hAnsi="Times New Roman" w:cs="Times New Roman"/>
                <w:sz w:val="24"/>
                <w:szCs w:val="24"/>
              </w:rPr>
            </w:pPr>
            <w:r w:rsidRPr="00800692">
              <w:rPr>
                <w:rFonts w:ascii="Times New Roman" w:hAnsi="Times New Roman" w:cs="Times New Roman"/>
              </w:rPr>
              <w:t>0.09</w:t>
            </w:r>
          </w:p>
        </w:tc>
        <w:tc>
          <w:tcPr>
            <w:tcW w:w="891" w:type="dxa"/>
          </w:tcPr>
          <w:p w14:paraId="1EC838D4" w14:textId="2D332AAD" w:rsidR="005C0B94" w:rsidRPr="00800692" w:rsidRDefault="005C0B94" w:rsidP="00D56AFB">
            <w:pPr>
              <w:spacing w:line="480" w:lineRule="auto"/>
              <w:rPr>
                <w:rFonts w:ascii="Times New Roman" w:eastAsia="Times New Roman" w:hAnsi="Times New Roman" w:cs="Times New Roman"/>
                <w:sz w:val="24"/>
                <w:szCs w:val="24"/>
              </w:rPr>
            </w:pPr>
            <w:r w:rsidRPr="00800692">
              <w:rPr>
                <w:rFonts w:ascii="Times New Roman" w:hAnsi="Times New Roman" w:cs="Times New Roman"/>
              </w:rPr>
              <w:t>0.76</w:t>
            </w:r>
          </w:p>
        </w:tc>
      </w:tr>
      <w:tr w:rsidR="005C0B94" w:rsidRPr="001037CC" w14:paraId="7C7821A8" w14:textId="71F81AA6" w:rsidTr="00C27A12">
        <w:trPr>
          <w:trHeight w:val="288"/>
        </w:trPr>
        <w:tc>
          <w:tcPr>
            <w:tcW w:w="1124" w:type="dxa"/>
            <w:noWrap/>
            <w:hideMark/>
          </w:tcPr>
          <w:p w14:paraId="5E4B948B" w14:textId="77777777"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effort</w:t>
            </w:r>
          </w:p>
        </w:tc>
        <w:tc>
          <w:tcPr>
            <w:tcW w:w="960" w:type="dxa"/>
            <w:noWrap/>
            <w:hideMark/>
          </w:tcPr>
          <w:p w14:paraId="148E8200" w14:textId="77777777"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1.84</w:t>
            </w:r>
          </w:p>
        </w:tc>
        <w:tc>
          <w:tcPr>
            <w:tcW w:w="891" w:type="dxa"/>
          </w:tcPr>
          <w:p w14:paraId="19AFCE9F" w14:textId="77777777" w:rsidR="005C0B94" w:rsidRPr="001037CC" w:rsidRDefault="005C0B94" w:rsidP="00D56AFB">
            <w:pPr>
              <w:spacing w:line="480" w:lineRule="auto"/>
              <w:rPr>
                <w:rFonts w:ascii="Times New Roman" w:eastAsia="Times New Roman" w:hAnsi="Times New Roman" w:cs="Times New Roman"/>
                <w:sz w:val="24"/>
                <w:szCs w:val="24"/>
              </w:rPr>
            </w:pPr>
          </w:p>
        </w:tc>
        <w:tc>
          <w:tcPr>
            <w:tcW w:w="960" w:type="dxa"/>
            <w:noWrap/>
            <w:hideMark/>
          </w:tcPr>
          <w:p w14:paraId="3A1DE3E3" w14:textId="6ED91963"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1.99</w:t>
            </w:r>
          </w:p>
        </w:tc>
        <w:tc>
          <w:tcPr>
            <w:tcW w:w="960" w:type="dxa"/>
            <w:noWrap/>
            <w:hideMark/>
          </w:tcPr>
          <w:p w14:paraId="27BC438C" w14:textId="77777777"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1.3</w:t>
            </w:r>
          </w:p>
        </w:tc>
        <w:tc>
          <w:tcPr>
            <w:tcW w:w="891" w:type="dxa"/>
          </w:tcPr>
          <w:p w14:paraId="60A6B604" w14:textId="77777777" w:rsidR="005C0B94" w:rsidRPr="001037CC" w:rsidRDefault="005C0B94" w:rsidP="00D56AFB">
            <w:pPr>
              <w:spacing w:line="480" w:lineRule="auto"/>
              <w:rPr>
                <w:rFonts w:ascii="Times New Roman" w:eastAsia="Times New Roman" w:hAnsi="Times New Roman" w:cs="Times New Roman"/>
                <w:sz w:val="24"/>
                <w:szCs w:val="24"/>
              </w:rPr>
            </w:pPr>
          </w:p>
        </w:tc>
        <w:tc>
          <w:tcPr>
            <w:tcW w:w="891" w:type="dxa"/>
          </w:tcPr>
          <w:p w14:paraId="00873027" w14:textId="257A1CA8" w:rsidR="005C0B94" w:rsidRPr="00800692" w:rsidRDefault="005C0B94" w:rsidP="00D56AFB">
            <w:pPr>
              <w:spacing w:line="480" w:lineRule="auto"/>
              <w:rPr>
                <w:rFonts w:ascii="Times New Roman" w:eastAsia="Times New Roman" w:hAnsi="Times New Roman" w:cs="Times New Roman"/>
                <w:sz w:val="24"/>
                <w:szCs w:val="24"/>
              </w:rPr>
            </w:pPr>
            <w:r w:rsidRPr="00800692">
              <w:rPr>
                <w:rFonts w:ascii="Times New Roman" w:hAnsi="Times New Roman" w:cs="Times New Roman"/>
              </w:rPr>
              <w:t>1.27</w:t>
            </w:r>
          </w:p>
        </w:tc>
        <w:tc>
          <w:tcPr>
            <w:tcW w:w="891" w:type="dxa"/>
          </w:tcPr>
          <w:p w14:paraId="655F68CA" w14:textId="77777777" w:rsidR="005C0B94" w:rsidRPr="00800692" w:rsidRDefault="005C0B94" w:rsidP="00D56AFB">
            <w:pPr>
              <w:spacing w:line="480" w:lineRule="auto"/>
              <w:rPr>
                <w:rFonts w:ascii="Times New Roman" w:eastAsia="Times New Roman" w:hAnsi="Times New Roman" w:cs="Times New Roman"/>
                <w:sz w:val="24"/>
                <w:szCs w:val="24"/>
              </w:rPr>
            </w:pPr>
          </w:p>
        </w:tc>
        <w:tc>
          <w:tcPr>
            <w:tcW w:w="891" w:type="dxa"/>
          </w:tcPr>
          <w:p w14:paraId="74C967E0" w14:textId="567247B3" w:rsidR="005C0B94" w:rsidRPr="00800692" w:rsidRDefault="005C0B94" w:rsidP="00D56AFB">
            <w:pPr>
              <w:spacing w:line="480" w:lineRule="auto"/>
              <w:rPr>
                <w:rFonts w:ascii="Times New Roman" w:eastAsia="Times New Roman" w:hAnsi="Times New Roman" w:cs="Times New Roman"/>
                <w:sz w:val="24"/>
                <w:szCs w:val="24"/>
              </w:rPr>
            </w:pPr>
            <w:r w:rsidRPr="00800692">
              <w:rPr>
                <w:rFonts w:ascii="Times New Roman" w:hAnsi="Times New Roman" w:cs="Times New Roman"/>
              </w:rPr>
              <w:t>0.48</w:t>
            </w:r>
          </w:p>
        </w:tc>
        <w:tc>
          <w:tcPr>
            <w:tcW w:w="891" w:type="dxa"/>
          </w:tcPr>
          <w:p w14:paraId="562338CE" w14:textId="1EF8F7E8" w:rsidR="005C0B94" w:rsidRPr="00800692" w:rsidRDefault="005C0B94" w:rsidP="00D56AFB">
            <w:pPr>
              <w:spacing w:line="480" w:lineRule="auto"/>
              <w:rPr>
                <w:rFonts w:ascii="Times New Roman" w:eastAsia="Times New Roman" w:hAnsi="Times New Roman" w:cs="Times New Roman"/>
                <w:sz w:val="24"/>
                <w:szCs w:val="24"/>
              </w:rPr>
            </w:pPr>
            <w:r w:rsidRPr="00800692">
              <w:rPr>
                <w:rFonts w:ascii="Times New Roman" w:hAnsi="Times New Roman" w:cs="Times New Roman"/>
              </w:rPr>
              <w:t>1.99</w:t>
            </w:r>
          </w:p>
        </w:tc>
      </w:tr>
      <w:tr w:rsidR="005C0B94" w:rsidRPr="001037CC" w14:paraId="19D6D842" w14:textId="4B39F297" w:rsidTr="00C27A12">
        <w:trPr>
          <w:trHeight w:val="288"/>
        </w:trPr>
        <w:tc>
          <w:tcPr>
            <w:tcW w:w="1124" w:type="dxa"/>
            <w:noWrap/>
            <w:hideMark/>
          </w:tcPr>
          <w:p w14:paraId="27B01508" w14:textId="77777777"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sleep</w:t>
            </w:r>
          </w:p>
        </w:tc>
        <w:tc>
          <w:tcPr>
            <w:tcW w:w="960" w:type="dxa"/>
            <w:noWrap/>
            <w:hideMark/>
          </w:tcPr>
          <w:p w14:paraId="29239612" w14:textId="78708857"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1</w:t>
            </w:r>
            <w:r>
              <w:rPr>
                <w:rFonts w:ascii="Times New Roman" w:eastAsia="Times New Roman" w:hAnsi="Times New Roman" w:cs="Times New Roman"/>
                <w:sz w:val="24"/>
                <w:szCs w:val="24"/>
              </w:rPr>
              <w:t>.00</w:t>
            </w:r>
          </w:p>
        </w:tc>
        <w:tc>
          <w:tcPr>
            <w:tcW w:w="891" w:type="dxa"/>
          </w:tcPr>
          <w:p w14:paraId="0CA9B2A0" w14:textId="77777777" w:rsidR="005C0B94" w:rsidRPr="001037CC" w:rsidRDefault="005C0B94" w:rsidP="00D56AFB">
            <w:pPr>
              <w:spacing w:line="480" w:lineRule="auto"/>
              <w:rPr>
                <w:rFonts w:ascii="Times New Roman" w:eastAsia="Times New Roman" w:hAnsi="Times New Roman" w:cs="Times New Roman"/>
                <w:sz w:val="24"/>
                <w:szCs w:val="24"/>
              </w:rPr>
            </w:pPr>
          </w:p>
        </w:tc>
        <w:tc>
          <w:tcPr>
            <w:tcW w:w="960" w:type="dxa"/>
            <w:noWrap/>
            <w:hideMark/>
          </w:tcPr>
          <w:p w14:paraId="5540F2ED" w14:textId="12C0E1F8"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1.02</w:t>
            </w:r>
          </w:p>
        </w:tc>
        <w:tc>
          <w:tcPr>
            <w:tcW w:w="960" w:type="dxa"/>
            <w:noWrap/>
            <w:hideMark/>
          </w:tcPr>
          <w:p w14:paraId="37B44564" w14:textId="77777777"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0.69</w:t>
            </w:r>
          </w:p>
        </w:tc>
        <w:tc>
          <w:tcPr>
            <w:tcW w:w="891" w:type="dxa"/>
          </w:tcPr>
          <w:p w14:paraId="37698AC4" w14:textId="77777777" w:rsidR="005C0B94" w:rsidRPr="001037CC" w:rsidRDefault="005C0B94" w:rsidP="00D56AFB">
            <w:pPr>
              <w:spacing w:line="480" w:lineRule="auto"/>
              <w:rPr>
                <w:rFonts w:ascii="Times New Roman" w:eastAsia="Times New Roman" w:hAnsi="Times New Roman" w:cs="Times New Roman"/>
                <w:sz w:val="24"/>
                <w:szCs w:val="24"/>
              </w:rPr>
            </w:pPr>
          </w:p>
        </w:tc>
        <w:tc>
          <w:tcPr>
            <w:tcW w:w="891" w:type="dxa"/>
          </w:tcPr>
          <w:p w14:paraId="098B434B" w14:textId="58AA1B57" w:rsidR="005C0B94" w:rsidRPr="00800692" w:rsidRDefault="005C0B94" w:rsidP="00D56AFB">
            <w:pPr>
              <w:spacing w:line="480" w:lineRule="auto"/>
              <w:rPr>
                <w:rFonts w:ascii="Times New Roman" w:eastAsia="Times New Roman" w:hAnsi="Times New Roman" w:cs="Times New Roman"/>
                <w:sz w:val="24"/>
                <w:szCs w:val="24"/>
              </w:rPr>
            </w:pPr>
            <w:r w:rsidRPr="00800692">
              <w:rPr>
                <w:rFonts w:ascii="Times New Roman" w:hAnsi="Times New Roman" w:cs="Times New Roman"/>
              </w:rPr>
              <w:t>0.51</w:t>
            </w:r>
          </w:p>
        </w:tc>
        <w:tc>
          <w:tcPr>
            <w:tcW w:w="891" w:type="dxa"/>
          </w:tcPr>
          <w:p w14:paraId="228DAF76" w14:textId="77777777" w:rsidR="005C0B94" w:rsidRPr="00800692" w:rsidRDefault="005C0B94" w:rsidP="00D56AFB">
            <w:pPr>
              <w:spacing w:line="480" w:lineRule="auto"/>
              <w:rPr>
                <w:rFonts w:ascii="Times New Roman" w:eastAsia="Times New Roman" w:hAnsi="Times New Roman" w:cs="Times New Roman"/>
                <w:sz w:val="24"/>
                <w:szCs w:val="24"/>
              </w:rPr>
            </w:pPr>
          </w:p>
        </w:tc>
        <w:tc>
          <w:tcPr>
            <w:tcW w:w="891" w:type="dxa"/>
          </w:tcPr>
          <w:p w14:paraId="29AC85EC" w14:textId="793580C8" w:rsidR="005C0B94" w:rsidRPr="00800692" w:rsidRDefault="005C0B94" w:rsidP="00D56AFB">
            <w:pPr>
              <w:spacing w:line="480" w:lineRule="auto"/>
              <w:rPr>
                <w:rFonts w:ascii="Times New Roman" w:eastAsia="Times New Roman" w:hAnsi="Times New Roman" w:cs="Times New Roman"/>
                <w:sz w:val="24"/>
                <w:szCs w:val="24"/>
              </w:rPr>
            </w:pPr>
            <w:r w:rsidRPr="00800692">
              <w:rPr>
                <w:rFonts w:ascii="Times New Roman" w:hAnsi="Times New Roman" w:cs="Times New Roman"/>
              </w:rPr>
              <w:t>0.26</w:t>
            </w:r>
          </w:p>
        </w:tc>
        <w:tc>
          <w:tcPr>
            <w:tcW w:w="891" w:type="dxa"/>
          </w:tcPr>
          <w:p w14:paraId="091C6945" w14:textId="504B3694" w:rsidR="005C0B94" w:rsidRPr="00800692" w:rsidRDefault="005C0B94" w:rsidP="00D56AFB">
            <w:pPr>
              <w:spacing w:line="480" w:lineRule="auto"/>
              <w:rPr>
                <w:rFonts w:ascii="Times New Roman" w:eastAsia="Times New Roman" w:hAnsi="Times New Roman" w:cs="Times New Roman"/>
                <w:sz w:val="24"/>
                <w:szCs w:val="24"/>
              </w:rPr>
            </w:pPr>
            <w:r w:rsidRPr="00800692">
              <w:rPr>
                <w:rFonts w:ascii="Times New Roman" w:hAnsi="Times New Roman" w:cs="Times New Roman"/>
              </w:rPr>
              <w:t>0.58</w:t>
            </w:r>
          </w:p>
        </w:tc>
      </w:tr>
      <w:tr w:rsidR="005C0B94" w:rsidRPr="001037CC" w14:paraId="5DCF896E" w14:textId="524B5F72" w:rsidTr="00C27A12">
        <w:trPr>
          <w:trHeight w:val="288"/>
        </w:trPr>
        <w:tc>
          <w:tcPr>
            <w:tcW w:w="1124" w:type="dxa"/>
            <w:noWrap/>
            <w:hideMark/>
          </w:tcPr>
          <w:p w14:paraId="62332807" w14:textId="77777777"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t</w:t>
            </w:r>
            <w:r>
              <w:rPr>
                <w:rFonts w:ascii="Times New Roman" w:eastAsia="Times New Roman" w:hAnsi="Times New Roman" w:cs="Times New Roman"/>
                <w:sz w:val="24"/>
                <w:szCs w:val="24"/>
              </w:rPr>
              <w:t>ired</w:t>
            </w:r>
          </w:p>
        </w:tc>
        <w:tc>
          <w:tcPr>
            <w:tcW w:w="960" w:type="dxa"/>
            <w:noWrap/>
            <w:hideMark/>
          </w:tcPr>
          <w:p w14:paraId="5F937C64" w14:textId="77777777"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1.42</w:t>
            </w:r>
          </w:p>
        </w:tc>
        <w:tc>
          <w:tcPr>
            <w:tcW w:w="891" w:type="dxa"/>
          </w:tcPr>
          <w:p w14:paraId="4EEA4B6A" w14:textId="77777777" w:rsidR="005C0B94" w:rsidRPr="001037CC" w:rsidRDefault="005C0B94" w:rsidP="00D56AFB">
            <w:pPr>
              <w:spacing w:line="480" w:lineRule="auto"/>
              <w:rPr>
                <w:rFonts w:ascii="Times New Roman" w:eastAsia="Times New Roman" w:hAnsi="Times New Roman" w:cs="Times New Roman"/>
                <w:sz w:val="24"/>
                <w:szCs w:val="24"/>
              </w:rPr>
            </w:pPr>
          </w:p>
        </w:tc>
        <w:tc>
          <w:tcPr>
            <w:tcW w:w="960" w:type="dxa"/>
            <w:noWrap/>
            <w:hideMark/>
          </w:tcPr>
          <w:p w14:paraId="3817FF17" w14:textId="7745E189"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1.41</w:t>
            </w:r>
          </w:p>
        </w:tc>
        <w:tc>
          <w:tcPr>
            <w:tcW w:w="960" w:type="dxa"/>
            <w:noWrap/>
            <w:hideMark/>
          </w:tcPr>
          <w:p w14:paraId="0BA1EB60" w14:textId="77777777"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1.35</w:t>
            </w:r>
          </w:p>
        </w:tc>
        <w:tc>
          <w:tcPr>
            <w:tcW w:w="891" w:type="dxa"/>
          </w:tcPr>
          <w:p w14:paraId="38029115" w14:textId="77777777" w:rsidR="005C0B94" w:rsidRPr="001037CC" w:rsidRDefault="005C0B94" w:rsidP="00D56AFB">
            <w:pPr>
              <w:spacing w:line="480" w:lineRule="auto"/>
              <w:rPr>
                <w:rFonts w:ascii="Times New Roman" w:eastAsia="Times New Roman" w:hAnsi="Times New Roman" w:cs="Times New Roman"/>
                <w:sz w:val="24"/>
                <w:szCs w:val="24"/>
              </w:rPr>
            </w:pPr>
          </w:p>
        </w:tc>
        <w:tc>
          <w:tcPr>
            <w:tcW w:w="891" w:type="dxa"/>
          </w:tcPr>
          <w:p w14:paraId="3B285864" w14:textId="10E7CF4C" w:rsidR="005C0B94" w:rsidRPr="00800692" w:rsidRDefault="005C0B94" w:rsidP="00D56AFB">
            <w:pPr>
              <w:spacing w:line="480" w:lineRule="auto"/>
              <w:rPr>
                <w:rFonts w:ascii="Times New Roman" w:eastAsia="Times New Roman" w:hAnsi="Times New Roman" w:cs="Times New Roman"/>
                <w:sz w:val="24"/>
                <w:szCs w:val="24"/>
              </w:rPr>
            </w:pPr>
            <w:r w:rsidRPr="00800692">
              <w:rPr>
                <w:rFonts w:ascii="Times New Roman" w:hAnsi="Times New Roman" w:cs="Times New Roman"/>
              </w:rPr>
              <w:t>0.82</w:t>
            </w:r>
          </w:p>
        </w:tc>
        <w:tc>
          <w:tcPr>
            <w:tcW w:w="891" w:type="dxa"/>
          </w:tcPr>
          <w:p w14:paraId="75E14F42" w14:textId="77777777" w:rsidR="005C0B94" w:rsidRPr="00800692" w:rsidRDefault="005C0B94" w:rsidP="00D56AFB">
            <w:pPr>
              <w:spacing w:line="480" w:lineRule="auto"/>
              <w:rPr>
                <w:rFonts w:ascii="Times New Roman" w:eastAsia="Times New Roman" w:hAnsi="Times New Roman" w:cs="Times New Roman"/>
                <w:sz w:val="24"/>
                <w:szCs w:val="24"/>
              </w:rPr>
            </w:pPr>
          </w:p>
        </w:tc>
        <w:tc>
          <w:tcPr>
            <w:tcW w:w="891" w:type="dxa"/>
          </w:tcPr>
          <w:p w14:paraId="21245526" w14:textId="149A61EF" w:rsidR="005C0B94" w:rsidRPr="00800692" w:rsidRDefault="005C0B94" w:rsidP="00D56AFB">
            <w:pPr>
              <w:spacing w:line="480" w:lineRule="auto"/>
              <w:rPr>
                <w:rFonts w:ascii="Times New Roman" w:eastAsia="Times New Roman" w:hAnsi="Times New Roman" w:cs="Times New Roman"/>
                <w:sz w:val="24"/>
                <w:szCs w:val="24"/>
              </w:rPr>
            </w:pPr>
            <w:r w:rsidRPr="00800692">
              <w:rPr>
                <w:rFonts w:ascii="Times New Roman" w:hAnsi="Times New Roman" w:cs="Times New Roman"/>
              </w:rPr>
              <w:t>-0.03</w:t>
            </w:r>
          </w:p>
        </w:tc>
        <w:tc>
          <w:tcPr>
            <w:tcW w:w="891" w:type="dxa"/>
          </w:tcPr>
          <w:p w14:paraId="30997387" w14:textId="7079A78D" w:rsidR="005C0B94" w:rsidRPr="00800692" w:rsidRDefault="005C0B94" w:rsidP="00D56AFB">
            <w:pPr>
              <w:spacing w:line="480" w:lineRule="auto"/>
              <w:rPr>
                <w:rFonts w:ascii="Times New Roman" w:eastAsia="Times New Roman" w:hAnsi="Times New Roman" w:cs="Times New Roman"/>
                <w:sz w:val="24"/>
                <w:szCs w:val="24"/>
              </w:rPr>
            </w:pPr>
            <w:r w:rsidRPr="00800692">
              <w:rPr>
                <w:rFonts w:ascii="Times New Roman" w:hAnsi="Times New Roman" w:cs="Times New Roman"/>
              </w:rPr>
              <w:t>1.38</w:t>
            </w:r>
          </w:p>
        </w:tc>
      </w:tr>
      <w:tr w:rsidR="005C0B94" w:rsidRPr="001037CC" w14:paraId="671A2624" w14:textId="1A139252" w:rsidTr="00C27A12">
        <w:trPr>
          <w:trHeight w:val="288"/>
        </w:trPr>
        <w:tc>
          <w:tcPr>
            <w:tcW w:w="1124" w:type="dxa"/>
            <w:noWrap/>
            <w:hideMark/>
          </w:tcPr>
          <w:p w14:paraId="7DD82CB4" w14:textId="77777777"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appetite</w:t>
            </w:r>
          </w:p>
        </w:tc>
        <w:tc>
          <w:tcPr>
            <w:tcW w:w="960" w:type="dxa"/>
            <w:noWrap/>
            <w:hideMark/>
          </w:tcPr>
          <w:p w14:paraId="6937FD3C" w14:textId="77777777"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1.12</w:t>
            </w:r>
          </w:p>
        </w:tc>
        <w:tc>
          <w:tcPr>
            <w:tcW w:w="891" w:type="dxa"/>
          </w:tcPr>
          <w:p w14:paraId="004B76EC" w14:textId="77777777" w:rsidR="005C0B94" w:rsidRPr="001037CC" w:rsidRDefault="005C0B94" w:rsidP="00D56AFB">
            <w:pPr>
              <w:spacing w:line="480" w:lineRule="auto"/>
              <w:rPr>
                <w:rFonts w:ascii="Times New Roman" w:eastAsia="Times New Roman" w:hAnsi="Times New Roman" w:cs="Times New Roman"/>
                <w:sz w:val="24"/>
                <w:szCs w:val="24"/>
              </w:rPr>
            </w:pPr>
          </w:p>
        </w:tc>
        <w:tc>
          <w:tcPr>
            <w:tcW w:w="960" w:type="dxa"/>
            <w:noWrap/>
            <w:hideMark/>
          </w:tcPr>
          <w:p w14:paraId="23FACCC7" w14:textId="75C777CA"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1.05</w:t>
            </w:r>
          </w:p>
        </w:tc>
        <w:tc>
          <w:tcPr>
            <w:tcW w:w="960" w:type="dxa"/>
            <w:noWrap/>
            <w:hideMark/>
          </w:tcPr>
          <w:p w14:paraId="678EA9EF" w14:textId="77777777"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1.21</w:t>
            </w:r>
          </w:p>
        </w:tc>
        <w:tc>
          <w:tcPr>
            <w:tcW w:w="891" w:type="dxa"/>
          </w:tcPr>
          <w:p w14:paraId="31609E00" w14:textId="77777777" w:rsidR="005C0B94" w:rsidRPr="001037CC" w:rsidRDefault="005C0B94" w:rsidP="00D56AFB">
            <w:pPr>
              <w:spacing w:line="480" w:lineRule="auto"/>
              <w:rPr>
                <w:rFonts w:ascii="Times New Roman" w:eastAsia="Times New Roman" w:hAnsi="Times New Roman" w:cs="Times New Roman"/>
                <w:sz w:val="24"/>
                <w:szCs w:val="24"/>
              </w:rPr>
            </w:pPr>
          </w:p>
        </w:tc>
        <w:tc>
          <w:tcPr>
            <w:tcW w:w="891" w:type="dxa"/>
          </w:tcPr>
          <w:p w14:paraId="1C401247" w14:textId="28083F4C" w:rsidR="005C0B94" w:rsidRPr="00800692" w:rsidRDefault="005C0B94" w:rsidP="00D56AFB">
            <w:pPr>
              <w:spacing w:line="480" w:lineRule="auto"/>
              <w:rPr>
                <w:rFonts w:ascii="Times New Roman" w:eastAsia="Times New Roman" w:hAnsi="Times New Roman" w:cs="Times New Roman"/>
                <w:sz w:val="24"/>
                <w:szCs w:val="24"/>
              </w:rPr>
            </w:pPr>
            <w:r w:rsidRPr="00800692">
              <w:rPr>
                <w:rFonts w:ascii="Times New Roman" w:hAnsi="Times New Roman" w:cs="Times New Roman"/>
              </w:rPr>
              <w:t>0.79</w:t>
            </w:r>
          </w:p>
        </w:tc>
        <w:tc>
          <w:tcPr>
            <w:tcW w:w="891" w:type="dxa"/>
          </w:tcPr>
          <w:p w14:paraId="429F5EF3" w14:textId="77777777" w:rsidR="005C0B94" w:rsidRPr="00800692" w:rsidRDefault="005C0B94" w:rsidP="00D56AFB">
            <w:pPr>
              <w:spacing w:line="480" w:lineRule="auto"/>
              <w:rPr>
                <w:rFonts w:ascii="Times New Roman" w:eastAsia="Times New Roman" w:hAnsi="Times New Roman" w:cs="Times New Roman"/>
                <w:sz w:val="24"/>
                <w:szCs w:val="24"/>
              </w:rPr>
            </w:pPr>
          </w:p>
        </w:tc>
        <w:tc>
          <w:tcPr>
            <w:tcW w:w="891" w:type="dxa"/>
          </w:tcPr>
          <w:p w14:paraId="2FB90FAC" w14:textId="01ABC93F" w:rsidR="005C0B94" w:rsidRPr="00800692" w:rsidRDefault="005C0B94" w:rsidP="00D56AFB">
            <w:pPr>
              <w:spacing w:line="480" w:lineRule="auto"/>
              <w:rPr>
                <w:rFonts w:ascii="Times New Roman" w:eastAsia="Times New Roman" w:hAnsi="Times New Roman" w:cs="Times New Roman"/>
                <w:sz w:val="24"/>
                <w:szCs w:val="24"/>
              </w:rPr>
            </w:pPr>
            <w:r w:rsidRPr="00800692">
              <w:rPr>
                <w:rFonts w:ascii="Times New Roman" w:hAnsi="Times New Roman" w:cs="Times New Roman"/>
              </w:rPr>
              <w:t>0.60</w:t>
            </w:r>
          </w:p>
        </w:tc>
        <w:tc>
          <w:tcPr>
            <w:tcW w:w="891" w:type="dxa"/>
          </w:tcPr>
          <w:p w14:paraId="7BE10A09" w14:textId="061DB99F" w:rsidR="005C0B94" w:rsidRPr="00800692" w:rsidRDefault="005C0B94" w:rsidP="00D56AFB">
            <w:pPr>
              <w:spacing w:line="480" w:lineRule="auto"/>
              <w:rPr>
                <w:rFonts w:ascii="Times New Roman" w:eastAsia="Times New Roman" w:hAnsi="Times New Roman" w:cs="Times New Roman"/>
                <w:sz w:val="24"/>
                <w:szCs w:val="24"/>
              </w:rPr>
            </w:pPr>
            <w:r w:rsidRPr="00800692">
              <w:rPr>
                <w:rFonts w:ascii="Times New Roman" w:hAnsi="Times New Roman" w:cs="Times New Roman"/>
              </w:rPr>
              <w:t>0.72</w:t>
            </w:r>
          </w:p>
        </w:tc>
      </w:tr>
      <w:tr w:rsidR="005C0B94" w:rsidRPr="001037CC" w14:paraId="09A61F37" w14:textId="3655F74E" w:rsidTr="00C27A12">
        <w:trPr>
          <w:trHeight w:val="288"/>
        </w:trPr>
        <w:tc>
          <w:tcPr>
            <w:tcW w:w="1124" w:type="dxa"/>
            <w:noWrap/>
            <w:hideMark/>
          </w:tcPr>
          <w:p w14:paraId="713617A1" w14:textId="77777777"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pounds</w:t>
            </w:r>
          </w:p>
        </w:tc>
        <w:tc>
          <w:tcPr>
            <w:tcW w:w="960" w:type="dxa"/>
            <w:noWrap/>
            <w:hideMark/>
          </w:tcPr>
          <w:p w14:paraId="4335728D" w14:textId="77777777"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0.68</w:t>
            </w:r>
          </w:p>
        </w:tc>
        <w:tc>
          <w:tcPr>
            <w:tcW w:w="891" w:type="dxa"/>
          </w:tcPr>
          <w:p w14:paraId="5E28A422" w14:textId="77777777" w:rsidR="005C0B94" w:rsidRPr="001037CC" w:rsidRDefault="005C0B94" w:rsidP="00D56AFB">
            <w:pPr>
              <w:spacing w:line="480" w:lineRule="auto"/>
              <w:rPr>
                <w:rFonts w:ascii="Times New Roman" w:eastAsia="Times New Roman" w:hAnsi="Times New Roman" w:cs="Times New Roman"/>
                <w:sz w:val="24"/>
                <w:szCs w:val="24"/>
              </w:rPr>
            </w:pPr>
          </w:p>
        </w:tc>
        <w:tc>
          <w:tcPr>
            <w:tcW w:w="960" w:type="dxa"/>
            <w:noWrap/>
            <w:hideMark/>
          </w:tcPr>
          <w:p w14:paraId="747856D3" w14:textId="0AD6668B"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0.66</w:t>
            </w:r>
          </w:p>
        </w:tc>
        <w:tc>
          <w:tcPr>
            <w:tcW w:w="960" w:type="dxa"/>
            <w:noWrap/>
            <w:hideMark/>
          </w:tcPr>
          <w:p w14:paraId="47A7C10E" w14:textId="77777777"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0.07</w:t>
            </w:r>
          </w:p>
        </w:tc>
        <w:tc>
          <w:tcPr>
            <w:tcW w:w="891" w:type="dxa"/>
          </w:tcPr>
          <w:p w14:paraId="2044DDB7" w14:textId="77777777" w:rsidR="005C0B94" w:rsidRPr="001037CC" w:rsidRDefault="005C0B94" w:rsidP="00D56AFB">
            <w:pPr>
              <w:spacing w:line="480" w:lineRule="auto"/>
              <w:rPr>
                <w:rFonts w:ascii="Times New Roman" w:eastAsia="Times New Roman" w:hAnsi="Times New Roman" w:cs="Times New Roman"/>
                <w:sz w:val="24"/>
                <w:szCs w:val="24"/>
              </w:rPr>
            </w:pPr>
          </w:p>
        </w:tc>
        <w:tc>
          <w:tcPr>
            <w:tcW w:w="891" w:type="dxa"/>
          </w:tcPr>
          <w:p w14:paraId="4179403C" w14:textId="5F711249" w:rsidR="005C0B94" w:rsidRPr="00800692" w:rsidRDefault="005C0B94" w:rsidP="00D56AFB">
            <w:pPr>
              <w:spacing w:line="480" w:lineRule="auto"/>
              <w:rPr>
                <w:rFonts w:ascii="Times New Roman" w:eastAsia="Times New Roman" w:hAnsi="Times New Roman" w:cs="Times New Roman"/>
                <w:sz w:val="24"/>
                <w:szCs w:val="24"/>
              </w:rPr>
            </w:pPr>
            <w:r w:rsidRPr="00800692">
              <w:rPr>
                <w:rFonts w:ascii="Times New Roman" w:hAnsi="Times New Roman" w:cs="Times New Roman"/>
              </w:rPr>
              <w:t>0.48</w:t>
            </w:r>
          </w:p>
        </w:tc>
        <w:tc>
          <w:tcPr>
            <w:tcW w:w="891" w:type="dxa"/>
          </w:tcPr>
          <w:p w14:paraId="7668F39A" w14:textId="77777777" w:rsidR="005C0B94" w:rsidRPr="00800692" w:rsidRDefault="005C0B94" w:rsidP="00D56AFB">
            <w:pPr>
              <w:spacing w:line="480" w:lineRule="auto"/>
              <w:rPr>
                <w:rFonts w:ascii="Times New Roman" w:eastAsia="Times New Roman" w:hAnsi="Times New Roman" w:cs="Times New Roman"/>
                <w:sz w:val="24"/>
                <w:szCs w:val="24"/>
              </w:rPr>
            </w:pPr>
          </w:p>
        </w:tc>
        <w:tc>
          <w:tcPr>
            <w:tcW w:w="891" w:type="dxa"/>
          </w:tcPr>
          <w:p w14:paraId="36ADB28B" w14:textId="36542AF0" w:rsidR="005C0B94" w:rsidRPr="00800692" w:rsidRDefault="005C0B94" w:rsidP="00D56AFB">
            <w:pPr>
              <w:spacing w:line="480" w:lineRule="auto"/>
              <w:rPr>
                <w:rFonts w:ascii="Times New Roman" w:eastAsia="Times New Roman" w:hAnsi="Times New Roman" w:cs="Times New Roman"/>
                <w:sz w:val="24"/>
                <w:szCs w:val="24"/>
              </w:rPr>
            </w:pPr>
            <w:r w:rsidRPr="00800692">
              <w:rPr>
                <w:rFonts w:ascii="Times New Roman" w:hAnsi="Times New Roman" w:cs="Times New Roman"/>
              </w:rPr>
              <w:t>0.28</w:t>
            </w:r>
          </w:p>
        </w:tc>
        <w:tc>
          <w:tcPr>
            <w:tcW w:w="891" w:type="dxa"/>
          </w:tcPr>
          <w:p w14:paraId="1AFD3AD6" w14:textId="3D66C3BB" w:rsidR="005C0B94" w:rsidRPr="00800692" w:rsidRDefault="005C0B94" w:rsidP="00D56AFB">
            <w:pPr>
              <w:spacing w:line="480" w:lineRule="auto"/>
              <w:rPr>
                <w:rFonts w:ascii="Times New Roman" w:eastAsia="Times New Roman" w:hAnsi="Times New Roman" w:cs="Times New Roman"/>
                <w:sz w:val="24"/>
                <w:szCs w:val="24"/>
              </w:rPr>
            </w:pPr>
            <w:r w:rsidRPr="00800692">
              <w:rPr>
                <w:rFonts w:ascii="Times New Roman" w:hAnsi="Times New Roman" w:cs="Times New Roman"/>
              </w:rPr>
              <w:t>0.79</w:t>
            </w:r>
          </w:p>
        </w:tc>
      </w:tr>
      <w:tr w:rsidR="005C0B94" w:rsidRPr="001037CC" w14:paraId="715E1053" w14:textId="141E8193" w:rsidTr="00C27A12">
        <w:trPr>
          <w:trHeight w:val="288"/>
        </w:trPr>
        <w:tc>
          <w:tcPr>
            <w:tcW w:w="1124" w:type="dxa"/>
            <w:noWrap/>
            <w:hideMark/>
          </w:tcPr>
          <w:p w14:paraId="45082E63" w14:textId="77777777"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worry</w:t>
            </w:r>
          </w:p>
        </w:tc>
        <w:tc>
          <w:tcPr>
            <w:tcW w:w="960" w:type="dxa"/>
            <w:noWrap/>
            <w:hideMark/>
          </w:tcPr>
          <w:p w14:paraId="65E868A6" w14:textId="77777777"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1.48</w:t>
            </w:r>
          </w:p>
        </w:tc>
        <w:tc>
          <w:tcPr>
            <w:tcW w:w="891" w:type="dxa"/>
          </w:tcPr>
          <w:p w14:paraId="4C2CEEB9" w14:textId="77777777" w:rsidR="005C0B94" w:rsidRPr="001037CC" w:rsidRDefault="005C0B94" w:rsidP="00D56AFB">
            <w:pPr>
              <w:spacing w:line="480" w:lineRule="auto"/>
              <w:rPr>
                <w:rFonts w:ascii="Times New Roman" w:eastAsia="Times New Roman" w:hAnsi="Times New Roman" w:cs="Times New Roman"/>
                <w:sz w:val="24"/>
                <w:szCs w:val="24"/>
              </w:rPr>
            </w:pPr>
          </w:p>
        </w:tc>
        <w:tc>
          <w:tcPr>
            <w:tcW w:w="960" w:type="dxa"/>
            <w:noWrap/>
            <w:hideMark/>
          </w:tcPr>
          <w:p w14:paraId="20039C98" w14:textId="102B57E3"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1.5</w:t>
            </w:r>
            <w:r>
              <w:rPr>
                <w:rFonts w:ascii="Times New Roman" w:eastAsia="Times New Roman" w:hAnsi="Times New Roman" w:cs="Times New Roman"/>
                <w:sz w:val="24"/>
                <w:szCs w:val="24"/>
              </w:rPr>
              <w:t>0</w:t>
            </w:r>
          </w:p>
        </w:tc>
        <w:tc>
          <w:tcPr>
            <w:tcW w:w="960" w:type="dxa"/>
            <w:noWrap/>
            <w:hideMark/>
          </w:tcPr>
          <w:p w14:paraId="459B4976" w14:textId="69D750B1"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1.1</w:t>
            </w:r>
            <w:r>
              <w:rPr>
                <w:rFonts w:ascii="Times New Roman" w:eastAsia="Times New Roman" w:hAnsi="Times New Roman" w:cs="Times New Roman"/>
                <w:sz w:val="24"/>
                <w:szCs w:val="24"/>
              </w:rPr>
              <w:t>0</w:t>
            </w:r>
          </w:p>
        </w:tc>
        <w:tc>
          <w:tcPr>
            <w:tcW w:w="891" w:type="dxa"/>
          </w:tcPr>
          <w:p w14:paraId="666C831D" w14:textId="77777777" w:rsidR="005C0B94" w:rsidRPr="001037CC" w:rsidRDefault="005C0B94" w:rsidP="00D56AFB">
            <w:pPr>
              <w:spacing w:line="480" w:lineRule="auto"/>
              <w:rPr>
                <w:rFonts w:ascii="Times New Roman" w:eastAsia="Times New Roman" w:hAnsi="Times New Roman" w:cs="Times New Roman"/>
                <w:sz w:val="24"/>
                <w:szCs w:val="24"/>
              </w:rPr>
            </w:pPr>
          </w:p>
        </w:tc>
        <w:tc>
          <w:tcPr>
            <w:tcW w:w="891" w:type="dxa"/>
          </w:tcPr>
          <w:p w14:paraId="22A9E3AF" w14:textId="0FD765E5" w:rsidR="005C0B94" w:rsidRPr="00800692" w:rsidRDefault="005C0B94" w:rsidP="00D56AFB">
            <w:pPr>
              <w:spacing w:line="480" w:lineRule="auto"/>
              <w:rPr>
                <w:rFonts w:ascii="Times New Roman" w:eastAsia="Times New Roman" w:hAnsi="Times New Roman" w:cs="Times New Roman"/>
                <w:sz w:val="24"/>
                <w:szCs w:val="24"/>
              </w:rPr>
            </w:pPr>
            <w:r w:rsidRPr="00800692">
              <w:rPr>
                <w:rFonts w:ascii="Times New Roman" w:hAnsi="Times New Roman" w:cs="Times New Roman"/>
              </w:rPr>
              <w:t>0.34</w:t>
            </w:r>
          </w:p>
        </w:tc>
        <w:tc>
          <w:tcPr>
            <w:tcW w:w="891" w:type="dxa"/>
          </w:tcPr>
          <w:p w14:paraId="0CF4B3E9" w14:textId="77777777" w:rsidR="005C0B94" w:rsidRPr="00800692" w:rsidRDefault="005C0B94" w:rsidP="00D56AFB">
            <w:pPr>
              <w:spacing w:line="480" w:lineRule="auto"/>
              <w:rPr>
                <w:rFonts w:ascii="Times New Roman" w:eastAsia="Times New Roman" w:hAnsi="Times New Roman" w:cs="Times New Roman"/>
                <w:sz w:val="24"/>
                <w:szCs w:val="24"/>
              </w:rPr>
            </w:pPr>
          </w:p>
        </w:tc>
        <w:tc>
          <w:tcPr>
            <w:tcW w:w="891" w:type="dxa"/>
          </w:tcPr>
          <w:p w14:paraId="7D1EE20D" w14:textId="560003BE" w:rsidR="005C0B94" w:rsidRPr="00800692" w:rsidRDefault="005C0B94" w:rsidP="00D56AFB">
            <w:pPr>
              <w:spacing w:line="480" w:lineRule="auto"/>
              <w:rPr>
                <w:rFonts w:ascii="Times New Roman" w:eastAsia="Times New Roman" w:hAnsi="Times New Roman" w:cs="Times New Roman"/>
                <w:sz w:val="24"/>
                <w:szCs w:val="24"/>
              </w:rPr>
            </w:pPr>
            <w:r w:rsidRPr="00800692">
              <w:rPr>
                <w:rFonts w:ascii="Times New Roman" w:hAnsi="Times New Roman" w:cs="Times New Roman"/>
              </w:rPr>
              <w:t>0.02</w:t>
            </w:r>
          </w:p>
        </w:tc>
        <w:tc>
          <w:tcPr>
            <w:tcW w:w="891" w:type="dxa"/>
          </w:tcPr>
          <w:p w14:paraId="715DAA62" w14:textId="2A6FB4E7" w:rsidR="005C0B94" w:rsidRPr="00800692" w:rsidRDefault="005C0B94" w:rsidP="00D56AFB">
            <w:pPr>
              <w:spacing w:line="480" w:lineRule="auto"/>
              <w:rPr>
                <w:rFonts w:ascii="Times New Roman" w:eastAsia="Times New Roman" w:hAnsi="Times New Roman" w:cs="Times New Roman"/>
                <w:sz w:val="24"/>
                <w:szCs w:val="24"/>
              </w:rPr>
            </w:pPr>
            <w:r w:rsidRPr="00800692">
              <w:rPr>
                <w:rFonts w:ascii="Times New Roman" w:hAnsi="Times New Roman" w:cs="Times New Roman"/>
              </w:rPr>
              <w:t>0.55</w:t>
            </w:r>
          </w:p>
        </w:tc>
      </w:tr>
      <w:tr w:rsidR="005C0B94" w:rsidRPr="001037CC" w14:paraId="12CD0781" w14:textId="14C03CF4" w:rsidTr="00C27A12">
        <w:trPr>
          <w:trHeight w:val="288"/>
        </w:trPr>
        <w:tc>
          <w:tcPr>
            <w:tcW w:w="1124" w:type="dxa"/>
            <w:tcBorders>
              <w:bottom w:val="single" w:sz="4" w:space="0" w:color="auto"/>
            </w:tcBorders>
            <w:noWrap/>
            <w:hideMark/>
          </w:tcPr>
          <w:p w14:paraId="40A545E6" w14:textId="77777777"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sex</w:t>
            </w:r>
          </w:p>
        </w:tc>
        <w:tc>
          <w:tcPr>
            <w:tcW w:w="960" w:type="dxa"/>
            <w:tcBorders>
              <w:bottom w:val="single" w:sz="4" w:space="0" w:color="auto"/>
            </w:tcBorders>
            <w:noWrap/>
            <w:hideMark/>
          </w:tcPr>
          <w:p w14:paraId="1F776B3D" w14:textId="77777777"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1.33</w:t>
            </w:r>
          </w:p>
        </w:tc>
        <w:tc>
          <w:tcPr>
            <w:tcW w:w="891" w:type="dxa"/>
            <w:tcBorders>
              <w:bottom w:val="single" w:sz="4" w:space="0" w:color="auto"/>
            </w:tcBorders>
          </w:tcPr>
          <w:p w14:paraId="2B47958E" w14:textId="77777777" w:rsidR="005C0B94" w:rsidRPr="001037CC" w:rsidRDefault="005C0B94" w:rsidP="00D56AFB">
            <w:pPr>
              <w:spacing w:line="480" w:lineRule="auto"/>
              <w:rPr>
                <w:rFonts w:ascii="Times New Roman" w:eastAsia="Times New Roman" w:hAnsi="Times New Roman" w:cs="Times New Roman"/>
                <w:sz w:val="24"/>
                <w:szCs w:val="24"/>
              </w:rPr>
            </w:pPr>
          </w:p>
        </w:tc>
        <w:tc>
          <w:tcPr>
            <w:tcW w:w="960" w:type="dxa"/>
            <w:tcBorders>
              <w:bottom w:val="single" w:sz="4" w:space="0" w:color="auto"/>
            </w:tcBorders>
            <w:noWrap/>
            <w:hideMark/>
          </w:tcPr>
          <w:p w14:paraId="4359BF1A" w14:textId="619EFC72"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1.13</w:t>
            </w:r>
          </w:p>
        </w:tc>
        <w:tc>
          <w:tcPr>
            <w:tcW w:w="960" w:type="dxa"/>
            <w:tcBorders>
              <w:bottom w:val="single" w:sz="4" w:space="0" w:color="auto"/>
            </w:tcBorders>
            <w:noWrap/>
            <w:hideMark/>
          </w:tcPr>
          <w:p w14:paraId="65052E45" w14:textId="77777777" w:rsidR="005C0B94" w:rsidRPr="001037CC" w:rsidRDefault="005C0B94" w:rsidP="00D56AFB">
            <w:pPr>
              <w:spacing w:line="480" w:lineRule="auto"/>
              <w:rPr>
                <w:rFonts w:ascii="Times New Roman" w:eastAsia="Times New Roman" w:hAnsi="Times New Roman" w:cs="Times New Roman"/>
                <w:sz w:val="24"/>
                <w:szCs w:val="24"/>
              </w:rPr>
            </w:pPr>
            <w:r w:rsidRPr="001037CC">
              <w:rPr>
                <w:rFonts w:ascii="Times New Roman" w:eastAsia="Times New Roman" w:hAnsi="Times New Roman" w:cs="Times New Roman"/>
                <w:sz w:val="24"/>
                <w:szCs w:val="24"/>
              </w:rPr>
              <w:t>1.34</w:t>
            </w:r>
          </w:p>
        </w:tc>
        <w:tc>
          <w:tcPr>
            <w:tcW w:w="891" w:type="dxa"/>
            <w:tcBorders>
              <w:bottom w:val="single" w:sz="4" w:space="0" w:color="auto"/>
            </w:tcBorders>
          </w:tcPr>
          <w:p w14:paraId="68A440AB" w14:textId="77777777" w:rsidR="005C0B94" w:rsidRPr="001037CC" w:rsidRDefault="005C0B94" w:rsidP="00D56AFB">
            <w:pPr>
              <w:spacing w:line="480" w:lineRule="auto"/>
              <w:rPr>
                <w:rFonts w:ascii="Times New Roman" w:eastAsia="Times New Roman" w:hAnsi="Times New Roman" w:cs="Times New Roman"/>
                <w:sz w:val="24"/>
                <w:szCs w:val="24"/>
              </w:rPr>
            </w:pPr>
          </w:p>
        </w:tc>
        <w:tc>
          <w:tcPr>
            <w:tcW w:w="891" w:type="dxa"/>
            <w:tcBorders>
              <w:bottom w:val="single" w:sz="4" w:space="0" w:color="auto"/>
            </w:tcBorders>
          </w:tcPr>
          <w:p w14:paraId="025ACA2A" w14:textId="556CC0D5" w:rsidR="005C0B94" w:rsidRPr="00800692" w:rsidRDefault="005C0B94" w:rsidP="00D56AFB">
            <w:pPr>
              <w:spacing w:line="480" w:lineRule="auto"/>
              <w:rPr>
                <w:rFonts w:ascii="Times New Roman" w:eastAsia="Times New Roman" w:hAnsi="Times New Roman" w:cs="Times New Roman"/>
                <w:sz w:val="24"/>
                <w:szCs w:val="24"/>
              </w:rPr>
            </w:pPr>
            <w:r w:rsidRPr="00800692">
              <w:rPr>
                <w:rFonts w:ascii="Times New Roman" w:hAnsi="Times New Roman" w:cs="Times New Roman"/>
              </w:rPr>
              <w:t>0.91</w:t>
            </w:r>
          </w:p>
        </w:tc>
        <w:tc>
          <w:tcPr>
            <w:tcW w:w="891" w:type="dxa"/>
            <w:tcBorders>
              <w:bottom w:val="single" w:sz="4" w:space="0" w:color="auto"/>
            </w:tcBorders>
          </w:tcPr>
          <w:p w14:paraId="5D6A0F37" w14:textId="77777777" w:rsidR="005C0B94" w:rsidRPr="00800692" w:rsidRDefault="005C0B94" w:rsidP="00D56AFB">
            <w:pPr>
              <w:spacing w:line="480" w:lineRule="auto"/>
              <w:rPr>
                <w:rFonts w:ascii="Times New Roman" w:eastAsia="Times New Roman" w:hAnsi="Times New Roman" w:cs="Times New Roman"/>
                <w:sz w:val="24"/>
                <w:szCs w:val="24"/>
              </w:rPr>
            </w:pPr>
          </w:p>
        </w:tc>
        <w:tc>
          <w:tcPr>
            <w:tcW w:w="891" w:type="dxa"/>
            <w:tcBorders>
              <w:bottom w:val="single" w:sz="4" w:space="0" w:color="auto"/>
            </w:tcBorders>
          </w:tcPr>
          <w:p w14:paraId="12555867" w14:textId="599C7699" w:rsidR="005C0B94" w:rsidRPr="00800692" w:rsidRDefault="005C0B94" w:rsidP="00D56AFB">
            <w:pPr>
              <w:spacing w:line="480" w:lineRule="auto"/>
              <w:rPr>
                <w:rFonts w:ascii="Times New Roman" w:eastAsia="Times New Roman" w:hAnsi="Times New Roman" w:cs="Times New Roman"/>
                <w:sz w:val="24"/>
                <w:szCs w:val="24"/>
              </w:rPr>
            </w:pPr>
            <w:r w:rsidRPr="00800692">
              <w:rPr>
                <w:rFonts w:ascii="Times New Roman" w:hAnsi="Times New Roman" w:cs="Times New Roman"/>
              </w:rPr>
              <w:t>0.14</w:t>
            </w:r>
          </w:p>
        </w:tc>
        <w:tc>
          <w:tcPr>
            <w:tcW w:w="891" w:type="dxa"/>
            <w:tcBorders>
              <w:bottom w:val="single" w:sz="4" w:space="0" w:color="auto"/>
            </w:tcBorders>
          </w:tcPr>
          <w:p w14:paraId="2DEF0A6C" w14:textId="1A7BBED6" w:rsidR="005C0B94" w:rsidRPr="00800692" w:rsidRDefault="005C0B94" w:rsidP="00D56AFB">
            <w:pPr>
              <w:spacing w:line="480" w:lineRule="auto"/>
              <w:rPr>
                <w:rFonts w:ascii="Times New Roman" w:eastAsia="Times New Roman" w:hAnsi="Times New Roman" w:cs="Times New Roman"/>
                <w:sz w:val="24"/>
                <w:szCs w:val="24"/>
              </w:rPr>
            </w:pPr>
            <w:r w:rsidRPr="00800692">
              <w:rPr>
                <w:rFonts w:ascii="Times New Roman" w:hAnsi="Times New Roman" w:cs="Times New Roman"/>
              </w:rPr>
              <w:t>1.53</w:t>
            </w:r>
          </w:p>
        </w:tc>
      </w:tr>
    </w:tbl>
    <w:p w14:paraId="24EF8244" w14:textId="77777777" w:rsidR="00B57673" w:rsidRDefault="00B57673" w:rsidP="00D56AFB">
      <w:pPr>
        <w:spacing w:after="0" w:line="480" w:lineRule="auto"/>
        <w:rPr>
          <w:rFonts w:ascii="Times New Roman" w:eastAsia="Times New Roman" w:hAnsi="Times New Roman" w:cs="Times New Roman"/>
          <w:sz w:val="24"/>
          <w:szCs w:val="24"/>
        </w:rPr>
      </w:pPr>
    </w:p>
    <w:p w14:paraId="77386839" w14:textId="644778BB" w:rsidR="008E7056" w:rsidRDefault="00FE7120" w:rsidP="00B57673">
      <w:pPr>
        <w:spacing w:after="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result </w:t>
      </w:r>
      <w:r w:rsidR="001017CE">
        <w:rPr>
          <w:rFonts w:ascii="Times New Roman" w:eastAsia="Times New Roman" w:hAnsi="Times New Roman" w:cs="Times New Roman"/>
          <w:sz w:val="24"/>
          <w:szCs w:val="24"/>
        </w:rPr>
        <w:t xml:space="preserve">on the left panel in Table 1 </w:t>
      </w:r>
      <w:r>
        <w:rPr>
          <w:rFonts w:ascii="Times New Roman" w:eastAsia="Times New Roman" w:hAnsi="Times New Roman" w:cs="Times New Roman"/>
          <w:sz w:val="24"/>
          <w:szCs w:val="24"/>
        </w:rPr>
        <w:t>shows</w:t>
      </w:r>
      <w:r w:rsidR="00FB3C9C">
        <w:rPr>
          <w:rFonts w:ascii="Times New Roman" w:eastAsia="Times New Roman" w:hAnsi="Times New Roman" w:cs="Times New Roman"/>
          <w:sz w:val="24"/>
          <w:szCs w:val="24"/>
        </w:rPr>
        <w:t xml:space="preserve"> </w:t>
      </w:r>
      <w:r w:rsidR="0028483A">
        <w:rPr>
          <w:rFonts w:ascii="Times New Roman" w:eastAsia="Times New Roman" w:hAnsi="Times New Roman" w:cs="Times New Roman"/>
          <w:sz w:val="24"/>
          <w:szCs w:val="24"/>
        </w:rPr>
        <w:t xml:space="preserve">the </w:t>
      </w:r>
      <w:proofErr w:type="spellStart"/>
      <w:r w:rsidR="0028483A">
        <w:rPr>
          <w:rFonts w:ascii="Times New Roman" w:eastAsia="Times New Roman" w:hAnsi="Times New Roman" w:cs="Times New Roman"/>
          <w:sz w:val="24"/>
          <w:szCs w:val="24"/>
        </w:rPr>
        <w:t>poset</w:t>
      </w:r>
      <w:proofErr w:type="spellEnd"/>
      <w:r w:rsidR="0028483A">
        <w:rPr>
          <w:rFonts w:ascii="Times New Roman" w:eastAsia="Times New Roman" w:hAnsi="Times New Roman" w:cs="Times New Roman"/>
          <w:sz w:val="24"/>
          <w:szCs w:val="24"/>
        </w:rPr>
        <w:t xml:space="preserve"> 2PL a</w:t>
      </w:r>
      <w:r w:rsidR="0028483A" w:rsidRPr="00711C8C">
        <w:rPr>
          <w:rFonts w:ascii="Times New Roman" w:eastAsia="Times New Roman" w:hAnsi="Times New Roman" w:cs="Times New Roman"/>
          <w:sz w:val="24"/>
          <w:szCs w:val="24"/>
          <w:vertAlign w:val="subscript"/>
        </w:rPr>
        <w:t>2PL</w:t>
      </w:r>
      <w:r w:rsidR="0028483A">
        <w:rPr>
          <w:rFonts w:ascii="Times New Roman" w:eastAsia="Times New Roman" w:hAnsi="Times New Roman" w:cs="Times New Roman"/>
          <w:sz w:val="24"/>
          <w:szCs w:val="24"/>
        </w:rPr>
        <w:t xml:space="preserve"> parameter is often comparable to the GRM</w:t>
      </w:r>
      <w:r w:rsidR="00B02905">
        <w:rPr>
          <w:rFonts w:ascii="Times New Roman" w:eastAsia="Times New Roman" w:hAnsi="Times New Roman" w:cs="Times New Roman"/>
          <w:sz w:val="24"/>
          <w:szCs w:val="24"/>
        </w:rPr>
        <w:t xml:space="preserve"> a parameter. </w:t>
      </w:r>
      <w:r w:rsidR="008E7056">
        <w:rPr>
          <w:rFonts w:ascii="Times New Roman" w:eastAsia="Times New Roman" w:hAnsi="Times New Roman" w:cs="Times New Roman"/>
          <w:sz w:val="24"/>
          <w:szCs w:val="24"/>
        </w:rPr>
        <w:t xml:space="preserve">On the other hand, in some cases the </w:t>
      </w:r>
      <w:proofErr w:type="spellStart"/>
      <w:r w:rsidR="008E7056">
        <w:rPr>
          <w:rFonts w:ascii="Times New Roman" w:eastAsia="Times New Roman" w:hAnsi="Times New Roman" w:cs="Times New Roman"/>
          <w:sz w:val="24"/>
          <w:szCs w:val="24"/>
        </w:rPr>
        <w:t>poset</w:t>
      </w:r>
      <w:proofErr w:type="spellEnd"/>
      <w:r w:rsidR="008E7056">
        <w:rPr>
          <w:rFonts w:ascii="Times New Roman" w:eastAsia="Times New Roman" w:hAnsi="Times New Roman" w:cs="Times New Roman"/>
          <w:sz w:val="24"/>
          <w:szCs w:val="24"/>
        </w:rPr>
        <w:t xml:space="preserve"> </w:t>
      </w:r>
      <w:proofErr w:type="spellStart"/>
      <w:r w:rsidR="008E7056" w:rsidRPr="001037CC">
        <w:rPr>
          <w:rFonts w:ascii="Times New Roman" w:eastAsia="Times New Roman" w:hAnsi="Times New Roman" w:cs="Times New Roman"/>
          <w:sz w:val="24"/>
          <w:szCs w:val="24"/>
        </w:rPr>
        <w:t>a</w:t>
      </w:r>
      <w:r w:rsidR="008E7056" w:rsidRPr="00462A09">
        <w:rPr>
          <w:rFonts w:ascii="Times New Roman" w:eastAsia="Times New Roman" w:hAnsi="Times New Roman" w:cs="Times New Roman"/>
          <w:sz w:val="24"/>
          <w:szCs w:val="24"/>
          <w:vertAlign w:val="subscript"/>
        </w:rPr>
        <w:t>GRM</w:t>
      </w:r>
      <w:proofErr w:type="spellEnd"/>
      <w:r w:rsidR="009C6601" w:rsidRPr="009C6601">
        <w:rPr>
          <w:rFonts w:ascii="Times New Roman" w:eastAsia="Times New Roman" w:hAnsi="Times New Roman" w:cs="Times New Roman"/>
          <w:sz w:val="24"/>
          <w:szCs w:val="24"/>
        </w:rPr>
        <w:t xml:space="preserve"> </w:t>
      </w:r>
      <w:r w:rsidR="009C6601">
        <w:rPr>
          <w:rFonts w:ascii="Times New Roman" w:eastAsia="Times New Roman" w:hAnsi="Times New Roman" w:cs="Times New Roman"/>
          <w:sz w:val="24"/>
          <w:szCs w:val="24"/>
        </w:rPr>
        <w:t xml:space="preserve">often comparable are diminished. </w:t>
      </w:r>
      <w:r w:rsidR="00D55CF6">
        <w:rPr>
          <w:rFonts w:ascii="Times New Roman" w:eastAsia="Times New Roman" w:hAnsi="Times New Roman" w:cs="Times New Roman"/>
          <w:sz w:val="24"/>
          <w:szCs w:val="24"/>
        </w:rPr>
        <w:t xml:space="preserve">One example is the item annoy, a=1.07 and </w:t>
      </w:r>
      <w:bookmarkStart w:id="3" w:name="_Hlk194233076"/>
      <w:proofErr w:type="spellStart"/>
      <w:r w:rsidR="00D55CF6" w:rsidRPr="001037CC">
        <w:rPr>
          <w:rFonts w:ascii="Times New Roman" w:eastAsia="Times New Roman" w:hAnsi="Times New Roman" w:cs="Times New Roman"/>
          <w:sz w:val="24"/>
          <w:szCs w:val="24"/>
        </w:rPr>
        <w:t>a</w:t>
      </w:r>
      <w:r w:rsidR="00D55CF6" w:rsidRPr="00462A09">
        <w:rPr>
          <w:rFonts w:ascii="Times New Roman" w:eastAsia="Times New Roman" w:hAnsi="Times New Roman" w:cs="Times New Roman"/>
          <w:sz w:val="24"/>
          <w:szCs w:val="24"/>
          <w:vertAlign w:val="subscript"/>
        </w:rPr>
        <w:t>GRM</w:t>
      </w:r>
      <w:bookmarkEnd w:id="3"/>
      <w:proofErr w:type="spellEnd"/>
      <w:r w:rsidR="00D55CF6" w:rsidRPr="00D55CF6">
        <w:rPr>
          <w:rFonts w:ascii="Times New Roman" w:eastAsia="Times New Roman" w:hAnsi="Times New Roman" w:cs="Times New Roman"/>
          <w:sz w:val="24"/>
          <w:szCs w:val="24"/>
        </w:rPr>
        <w:t>=</w:t>
      </w:r>
      <w:r w:rsidR="00D55CF6">
        <w:rPr>
          <w:rFonts w:ascii="Times New Roman" w:eastAsia="Times New Roman" w:hAnsi="Times New Roman" w:cs="Times New Roman"/>
          <w:sz w:val="24"/>
          <w:szCs w:val="24"/>
        </w:rPr>
        <w:t xml:space="preserve"> -0.23</w:t>
      </w:r>
      <w:r w:rsidR="00FC090D">
        <w:rPr>
          <w:rFonts w:ascii="Times New Roman" w:eastAsia="Times New Roman" w:hAnsi="Times New Roman" w:cs="Times New Roman"/>
          <w:sz w:val="24"/>
          <w:szCs w:val="24"/>
        </w:rPr>
        <w:t xml:space="preserve">, as well as the item </w:t>
      </w:r>
      <w:r w:rsidR="0070575E">
        <w:rPr>
          <w:rFonts w:ascii="Times New Roman" w:eastAsia="Times New Roman" w:hAnsi="Times New Roman" w:cs="Times New Roman"/>
          <w:sz w:val="24"/>
          <w:szCs w:val="24"/>
        </w:rPr>
        <w:t xml:space="preserve">pounds (0=I haven’t lost much </w:t>
      </w:r>
      <w:r w:rsidR="00FC3DFE">
        <w:rPr>
          <w:rFonts w:ascii="Times New Roman" w:eastAsia="Times New Roman" w:hAnsi="Times New Roman" w:cs="Times New Roman"/>
          <w:sz w:val="24"/>
          <w:szCs w:val="24"/>
        </w:rPr>
        <w:t xml:space="preserve">weight, if any, lately; 1-3 = lost </w:t>
      </w:r>
      <w:r w:rsidR="007A3F6A">
        <w:rPr>
          <w:rFonts w:ascii="Times New Roman" w:eastAsia="Times New Roman" w:hAnsi="Times New Roman" w:cs="Times New Roman"/>
          <w:sz w:val="24"/>
          <w:szCs w:val="24"/>
        </w:rPr>
        <w:t>5,10,</w:t>
      </w:r>
      <w:r w:rsidR="00C56685">
        <w:rPr>
          <w:rFonts w:ascii="Times New Roman" w:eastAsia="Times New Roman" w:hAnsi="Times New Roman" w:cs="Times New Roman"/>
          <w:sz w:val="24"/>
          <w:szCs w:val="24"/>
        </w:rPr>
        <w:t xml:space="preserve"> </w:t>
      </w:r>
      <w:r w:rsidR="007A3F6A">
        <w:rPr>
          <w:rFonts w:ascii="Times New Roman" w:eastAsia="Times New Roman" w:hAnsi="Times New Roman" w:cs="Times New Roman"/>
          <w:sz w:val="24"/>
          <w:szCs w:val="24"/>
        </w:rPr>
        <w:t>and 15 pounds respectively). The result suggests that</w:t>
      </w:r>
      <w:r w:rsidR="00A76EBA">
        <w:rPr>
          <w:rFonts w:ascii="Times New Roman" w:eastAsia="Times New Roman" w:hAnsi="Times New Roman" w:cs="Times New Roman"/>
          <w:sz w:val="24"/>
          <w:szCs w:val="24"/>
        </w:rPr>
        <w:t xml:space="preserve"> for these items, most of the discriminating information </w:t>
      </w:r>
      <w:r w:rsidR="005F5E76">
        <w:rPr>
          <w:rFonts w:ascii="Times New Roman" w:eastAsia="Times New Roman" w:hAnsi="Times New Roman" w:cs="Times New Roman"/>
          <w:sz w:val="24"/>
          <w:szCs w:val="24"/>
        </w:rPr>
        <w:t xml:space="preserve">is available at the </w:t>
      </w:r>
      <w:proofErr w:type="gramStart"/>
      <w:r w:rsidR="005F5E76">
        <w:rPr>
          <w:rFonts w:ascii="Times New Roman" w:eastAsia="Times New Roman" w:hAnsi="Times New Roman" w:cs="Times New Roman"/>
          <w:sz w:val="24"/>
          <w:szCs w:val="24"/>
        </w:rPr>
        <w:t>0 vs</w:t>
      </w:r>
      <w:proofErr w:type="gramEnd"/>
      <w:r w:rsidR="005F5E76">
        <w:rPr>
          <w:rFonts w:ascii="Times New Roman" w:eastAsia="Times New Roman" w:hAnsi="Times New Roman" w:cs="Times New Roman"/>
          <w:sz w:val="24"/>
          <w:szCs w:val="24"/>
        </w:rPr>
        <w:t xml:space="preserve"> other dichotomy. The ordered component does not add information. </w:t>
      </w:r>
      <w:r w:rsidR="001A1078">
        <w:rPr>
          <w:rFonts w:ascii="Times New Roman" w:eastAsia="Times New Roman" w:hAnsi="Times New Roman" w:cs="Times New Roman"/>
          <w:sz w:val="24"/>
          <w:szCs w:val="24"/>
        </w:rPr>
        <w:t xml:space="preserve">On the other hand, there are items for which </w:t>
      </w:r>
      <w:proofErr w:type="spellStart"/>
      <w:r w:rsidR="001A1078" w:rsidRPr="001037CC">
        <w:rPr>
          <w:rFonts w:ascii="Times New Roman" w:eastAsia="Times New Roman" w:hAnsi="Times New Roman" w:cs="Times New Roman"/>
          <w:sz w:val="24"/>
          <w:szCs w:val="24"/>
        </w:rPr>
        <w:t>a</w:t>
      </w:r>
      <w:r w:rsidR="001A1078" w:rsidRPr="00462A09">
        <w:rPr>
          <w:rFonts w:ascii="Times New Roman" w:eastAsia="Times New Roman" w:hAnsi="Times New Roman" w:cs="Times New Roman"/>
          <w:sz w:val="24"/>
          <w:szCs w:val="24"/>
          <w:vertAlign w:val="subscript"/>
        </w:rPr>
        <w:t>GRM</w:t>
      </w:r>
      <w:proofErr w:type="spellEnd"/>
      <w:r w:rsidR="001A1078">
        <w:rPr>
          <w:rFonts w:ascii="Times New Roman" w:eastAsia="Times New Roman" w:hAnsi="Times New Roman" w:cs="Times New Roman"/>
          <w:sz w:val="24"/>
          <w:szCs w:val="24"/>
          <w:vertAlign w:val="subscript"/>
        </w:rPr>
        <w:t xml:space="preserve"> </w:t>
      </w:r>
      <w:r w:rsidR="001A1078" w:rsidRPr="001A1078">
        <w:rPr>
          <w:rFonts w:ascii="Times New Roman" w:eastAsia="Times New Roman" w:hAnsi="Times New Roman" w:cs="Times New Roman"/>
          <w:sz w:val="24"/>
          <w:szCs w:val="24"/>
        </w:rPr>
        <w:t xml:space="preserve">is </w:t>
      </w:r>
      <w:r w:rsidR="00FF5580">
        <w:rPr>
          <w:rFonts w:ascii="Times New Roman" w:eastAsia="Times New Roman" w:hAnsi="Times New Roman" w:cs="Times New Roman"/>
          <w:sz w:val="24"/>
          <w:szCs w:val="24"/>
        </w:rPr>
        <w:t xml:space="preserve">“boosted” </w:t>
      </w:r>
      <w:r w:rsidR="00A34FBC">
        <w:rPr>
          <w:rFonts w:ascii="Times New Roman" w:eastAsia="Times New Roman" w:hAnsi="Times New Roman" w:cs="Times New Roman"/>
          <w:sz w:val="24"/>
          <w:szCs w:val="24"/>
        </w:rPr>
        <w:t xml:space="preserve">and has value higher than </w:t>
      </w:r>
      <w:r w:rsidR="00A34FBC" w:rsidRPr="003952B2">
        <w:rPr>
          <w:rFonts w:ascii="Times New Roman" w:eastAsia="Times New Roman" w:hAnsi="Times New Roman" w:cs="Times New Roman"/>
          <w:i/>
          <w:iCs/>
          <w:sz w:val="24"/>
          <w:szCs w:val="24"/>
        </w:rPr>
        <w:t>a</w:t>
      </w:r>
      <w:r w:rsidR="00A34FBC">
        <w:rPr>
          <w:rFonts w:ascii="Times New Roman" w:eastAsia="Times New Roman" w:hAnsi="Times New Roman" w:cs="Times New Roman"/>
          <w:sz w:val="24"/>
          <w:szCs w:val="24"/>
        </w:rPr>
        <w:t xml:space="preserve">. The items hate and </w:t>
      </w:r>
      <w:r w:rsidR="003952B2">
        <w:rPr>
          <w:rFonts w:ascii="Times New Roman" w:eastAsia="Times New Roman" w:hAnsi="Times New Roman" w:cs="Times New Roman"/>
          <w:sz w:val="24"/>
          <w:szCs w:val="24"/>
        </w:rPr>
        <w:t xml:space="preserve">blame are examples. </w:t>
      </w:r>
      <w:r w:rsidR="006D274A">
        <w:rPr>
          <w:rFonts w:ascii="Times New Roman" w:eastAsia="Times New Roman" w:hAnsi="Times New Roman" w:cs="Times New Roman"/>
          <w:sz w:val="24"/>
          <w:szCs w:val="24"/>
        </w:rPr>
        <w:t xml:space="preserve">The separation between 0 vs others and the 3 non-zero categories </w:t>
      </w:r>
      <w:proofErr w:type="gramStart"/>
      <w:r w:rsidR="006D274A">
        <w:rPr>
          <w:rFonts w:ascii="Times New Roman" w:eastAsia="Times New Roman" w:hAnsi="Times New Roman" w:cs="Times New Roman"/>
          <w:sz w:val="24"/>
          <w:szCs w:val="24"/>
        </w:rPr>
        <w:t>appears</w:t>
      </w:r>
      <w:proofErr w:type="gramEnd"/>
      <w:r w:rsidR="006D274A">
        <w:rPr>
          <w:rFonts w:ascii="Times New Roman" w:eastAsia="Times New Roman" w:hAnsi="Times New Roman" w:cs="Times New Roman"/>
          <w:sz w:val="24"/>
          <w:szCs w:val="24"/>
        </w:rPr>
        <w:t xml:space="preserve"> to enhance the discriminating power of these items. </w:t>
      </w:r>
      <w:r w:rsidR="00C67662">
        <w:rPr>
          <w:rFonts w:ascii="Times New Roman" w:eastAsia="Times New Roman" w:hAnsi="Times New Roman" w:cs="Times New Roman"/>
          <w:sz w:val="24"/>
          <w:szCs w:val="24"/>
        </w:rPr>
        <w:t xml:space="preserve">Note that the GRM </w:t>
      </w:r>
      <w:r w:rsidR="00AE01B1">
        <w:rPr>
          <w:rFonts w:ascii="Times New Roman" w:eastAsia="Times New Roman" w:hAnsi="Times New Roman" w:cs="Times New Roman"/>
          <w:sz w:val="24"/>
          <w:szCs w:val="24"/>
        </w:rPr>
        <w:t>uses a common discrimination parameter across categories, so i</w:t>
      </w:r>
      <w:r w:rsidR="002307BD">
        <w:rPr>
          <w:rFonts w:ascii="Times New Roman" w:eastAsia="Times New Roman" w:hAnsi="Times New Roman" w:cs="Times New Roman"/>
          <w:sz w:val="24"/>
          <w:szCs w:val="24"/>
        </w:rPr>
        <w:t xml:space="preserve">t is possible that </w:t>
      </w:r>
      <w:r w:rsidR="00AE01B1">
        <w:rPr>
          <w:rFonts w:ascii="Times New Roman" w:eastAsia="Times New Roman" w:hAnsi="Times New Roman" w:cs="Times New Roman"/>
          <w:sz w:val="24"/>
          <w:szCs w:val="24"/>
        </w:rPr>
        <w:t>the enhancement</w:t>
      </w:r>
      <w:r w:rsidR="002307BD">
        <w:rPr>
          <w:rFonts w:ascii="Times New Roman" w:eastAsia="Times New Roman" w:hAnsi="Times New Roman" w:cs="Times New Roman"/>
          <w:sz w:val="24"/>
          <w:szCs w:val="24"/>
        </w:rPr>
        <w:t xml:space="preserve"> is due to the “spreading out” of the </w:t>
      </w:r>
      <w:r w:rsidR="00C67662">
        <w:rPr>
          <w:rFonts w:ascii="Times New Roman" w:eastAsia="Times New Roman" w:hAnsi="Times New Roman" w:cs="Times New Roman"/>
          <w:sz w:val="24"/>
          <w:szCs w:val="24"/>
        </w:rPr>
        <w:t xml:space="preserve">item characteristic curves within the </w:t>
      </w:r>
      <w:proofErr w:type="spellStart"/>
      <w:r w:rsidR="00C67662">
        <w:rPr>
          <w:rFonts w:ascii="Times New Roman" w:eastAsia="Times New Roman" w:hAnsi="Times New Roman" w:cs="Times New Roman"/>
          <w:sz w:val="24"/>
          <w:szCs w:val="24"/>
        </w:rPr>
        <w:t>poset</w:t>
      </w:r>
      <w:proofErr w:type="spellEnd"/>
      <w:r w:rsidR="00C67662">
        <w:rPr>
          <w:rFonts w:ascii="Times New Roman" w:eastAsia="Times New Roman" w:hAnsi="Times New Roman" w:cs="Times New Roman"/>
          <w:sz w:val="24"/>
          <w:szCs w:val="24"/>
        </w:rPr>
        <w:t xml:space="preserve"> GRM model.</w:t>
      </w:r>
    </w:p>
    <w:p w14:paraId="665BE24F" w14:textId="77777777" w:rsidR="00204641" w:rsidRPr="00417BE6" w:rsidRDefault="00204641" w:rsidP="00D56AFB">
      <w:pPr>
        <w:spacing w:after="0" w:line="480" w:lineRule="auto"/>
        <w:rPr>
          <w:rFonts w:ascii="Times New Roman" w:eastAsia="Times New Roman" w:hAnsi="Times New Roman" w:cs="Times New Roman"/>
          <w:b/>
          <w:bCs/>
          <w:sz w:val="24"/>
          <w:szCs w:val="24"/>
        </w:rPr>
      </w:pPr>
      <w:r w:rsidRPr="00417BE6">
        <w:rPr>
          <w:rFonts w:ascii="Times New Roman" w:eastAsia="Times New Roman" w:hAnsi="Times New Roman" w:cs="Times New Roman"/>
          <w:b/>
          <w:bCs/>
          <w:sz w:val="24"/>
          <w:szCs w:val="24"/>
        </w:rPr>
        <w:t>Exploratory Analysis 2</w:t>
      </w:r>
    </w:p>
    <w:p w14:paraId="6E05DCAB" w14:textId="77777777" w:rsidR="00204641" w:rsidRDefault="00204641" w:rsidP="00D56AFB">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the second exploratory analysis, we assumed that there was a subpopulation in these cancer patient population where unipolarity may be driving the responses. While this breast cancer patient study did not include a general population (i.e., participants without cancer), we assumed here that there were study participants that behaved similarly to the general “healthy” population. The purpose if this exploratory analysis is to analyze how excluding this subpopulation would affect the calibration </w:t>
      </w:r>
      <w:proofErr w:type="gramStart"/>
      <w:r>
        <w:rPr>
          <w:rFonts w:ascii="Times New Roman" w:eastAsia="Times New Roman" w:hAnsi="Times New Roman" w:cs="Times New Roman"/>
          <w:sz w:val="24"/>
          <w:szCs w:val="24"/>
        </w:rPr>
        <w:t>and also</w:t>
      </w:r>
      <w:proofErr w:type="gramEnd"/>
      <w:r>
        <w:rPr>
          <w:rFonts w:ascii="Times New Roman" w:eastAsia="Times New Roman" w:hAnsi="Times New Roman" w:cs="Times New Roman"/>
          <w:sz w:val="24"/>
          <w:szCs w:val="24"/>
        </w:rPr>
        <w:t xml:space="preserve"> behavior of individual items.  </w:t>
      </w:r>
    </w:p>
    <w:p w14:paraId="71EF8281" w14:textId="77777777" w:rsidR="00204641" w:rsidRPr="004E7DD9" w:rsidRDefault="00204641" w:rsidP="00D56AFB">
      <w:pPr>
        <w:spacing w:after="0" w:line="480" w:lineRule="auto"/>
        <w:rPr>
          <w:rFonts w:ascii="Times New Roman" w:eastAsia="Times New Roman" w:hAnsi="Times New Roman" w:cs="Times New Roman"/>
          <w:i/>
          <w:iCs/>
          <w:sz w:val="24"/>
          <w:szCs w:val="24"/>
        </w:rPr>
      </w:pPr>
      <w:r w:rsidRPr="004E7DD9">
        <w:rPr>
          <w:rFonts w:ascii="Times New Roman" w:eastAsia="Times New Roman" w:hAnsi="Times New Roman" w:cs="Times New Roman"/>
          <w:i/>
          <w:iCs/>
          <w:sz w:val="24"/>
          <w:szCs w:val="24"/>
        </w:rPr>
        <w:t xml:space="preserve">Latent Class Analysis for Identifying a </w:t>
      </w:r>
      <w:r>
        <w:rPr>
          <w:rFonts w:ascii="Times New Roman" w:eastAsia="Times New Roman" w:hAnsi="Times New Roman" w:cs="Times New Roman"/>
          <w:i/>
          <w:iCs/>
          <w:sz w:val="24"/>
          <w:szCs w:val="24"/>
        </w:rPr>
        <w:t>Restricted</w:t>
      </w:r>
      <w:r w:rsidRPr="004E7DD9">
        <w:rPr>
          <w:rFonts w:ascii="Times New Roman" w:eastAsia="Times New Roman" w:hAnsi="Times New Roman" w:cs="Times New Roman"/>
          <w:i/>
          <w:iCs/>
          <w:sz w:val="24"/>
          <w:szCs w:val="24"/>
        </w:rPr>
        <w:t xml:space="preserve"> </w:t>
      </w:r>
      <w:r>
        <w:rPr>
          <w:rFonts w:ascii="Times New Roman" w:eastAsia="Times New Roman" w:hAnsi="Times New Roman" w:cs="Times New Roman"/>
          <w:i/>
          <w:iCs/>
          <w:sz w:val="24"/>
          <w:szCs w:val="24"/>
        </w:rPr>
        <w:t>Sample</w:t>
      </w:r>
    </w:p>
    <w:p w14:paraId="0C6E8EC5" w14:textId="64314126" w:rsidR="00204641" w:rsidRPr="001037CC" w:rsidRDefault="00204641" w:rsidP="00D56AFB">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 first use a latent class analysis (LCA) to explore the heterogeneity across the 21 items in the entire sample. Using the BIC as criterion to select the number of classes, the LCA resulted in a 6-class model. Figure </w:t>
      </w:r>
      <w:r w:rsidR="001C4D97">
        <w:rPr>
          <w:rFonts w:ascii="Times New Roman" w:eastAsia="Times New Roman" w:hAnsi="Times New Roman" w:cs="Times New Roman"/>
          <w:sz w:val="24"/>
          <w:szCs w:val="24"/>
        </w:rPr>
        <w:t>2</w:t>
      </w:r>
      <w:r>
        <w:rPr>
          <w:rFonts w:ascii="Times New Roman" w:eastAsia="Times New Roman" w:hAnsi="Times New Roman" w:cs="Times New Roman"/>
          <w:sz w:val="24"/>
          <w:szCs w:val="24"/>
        </w:rPr>
        <w:t xml:space="preserve"> shows the conditional probabilities of the item responses across 21 BDI items for each identified class. </w:t>
      </w:r>
      <w:proofErr w:type="gramStart"/>
      <w:r>
        <w:rPr>
          <w:rFonts w:ascii="Times New Roman" w:eastAsia="Times New Roman" w:hAnsi="Times New Roman" w:cs="Times New Roman"/>
          <w:sz w:val="24"/>
          <w:szCs w:val="24"/>
        </w:rPr>
        <w:t>It can be seen that the</w:t>
      </w:r>
      <w:proofErr w:type="gramEnd"/>
      <w:r>
        <w:rPr>
          <w:rFonts w:ascii="Times New Roman" w:eastAsia="Times New Roman" w:hAnsi="Times New Roman" w:cs="Times New Roman"/>
          <w:sz w:val="24"/>
          <w:szCs w:val="24"/>
        </w:rPr>
        <w:t xml:space="preserve"> class labeled HState4 is the most depressed class, whereas </w:t>
      </w:r>
      <w:proofErr w:type="spellStart"/>
      <w:r>
        <w:rPr>
          <w:rFonts w:ascii="Times New Roman" w:eastAsia="Times New Roman" w:hAnsi="Times New Roman" w:cs="Times New Roman"/>
          <w:sz w:val="24"/>
          <w:szCs w:val="24"/>
        </w:rPr>
        <w:t>HState</w:t>
      </w:r>
      <w:proofErr w:type="spellEnd"/>
      <w:r>
        <w:rPr>
          <w:rFonts w:ascii="Times New Roman" w:eastAsia="Times New Roman" w:hAnsi="Times New Roman" w:cs="Times New Roman"/>
          <w:sz w:val="24"/>
          <w:szCs w:val="24"/>
        </w:rPr>
        <w:t xml:space="preserve"> 1 is the most non-depressed class. After inspecting the classes, we interpreted the classes HState1, </w:t>
      </w:r>
      <w:proofErr w:type="spellStart"/>
      <w:r>
        <w:rPr>
          <w:rFonts w:ascii="Times New Roman" w:eastAsia="Times New Roman" w:hAnsi="Times New Roman" w:cs="Times New Roman"/>
          <w:sz w:val="24"/>
          <w:szCs w:val="24"/>
        </w:rPr>
        <w:t>HState</w:t>
      </w:r>
      <w:proofErr w:type="spellEnd"/>
      <w:r>
        <w:rPr>
          <w:rFonts w:ascii="Times New Roman" w:eastAsia="Times New Roman" w:hAnsi="Times New Roman" w:cs="Times New Roman"/>
          <w:sz w:val="24"/>
          <w:szCs w:val="24"/>
        </w:rPr>
        <w:t xml:space="preserve"> 3, and </w:t>
      </w:r>
      <w:proofErr w:type="spellStart"/>
      <w:r>
        <w:rPr>
          <w:rFonts w:ascii="Times New Roman" w:eastAsia="Times New Roman" w:hAnsi="Times New Roman" w:cs="Times New Roman"/>
          <w:sz w:val="24"/>
          <w:szCs w:val="24"/>
        </w:rPr>
        <w:t>HState</w:t>
      </w:r>
      <w:proofErr w:type="spellEnd"/>
      <w:r>
        <w:rPr>
          <w:rFonts w:ascii="Times New Roman" w:eastAsia="Times New Roman" w:hAnsi="Times New Roman" w:cs="Times New Roman"/>
          <w:sz w:val="24"/>
          <w:szCs w:val="24"/>
        </w:rPr>
        <w:t xml:space="preserve"> 5 as relatively “normal” or non-depressed subgroups (approximately 72% of the original sample) and excluded them in the subsequent analysis. We purposefully excluded participants more liberally so if there is any psychometric impact we would be more likely to discover that. </w:t>
      </w:r>
    </w:p>
    <w:p w14:paraId="6C060979" w14:textId="60844558" w:rsidR="00FD107E" w:rsidRDefault="00BD1377" w:rsidP="00D56AFB">
      <w:pPr>
        <w:spacing w:after="0" w:line="480" w:lineRule="auto"/>
        <w:rPr>
          <w:rFonts w:ascii="Times New Roman" w:eastAsia="Times New Roman" w:hAnsi="Times New Roman" w:cs="Times New Roman"/>
          <w:sz w:val="24"/>
          <w:szCs w:val="24"/>
        </w:rPr>
      </w:pPr>
      <w:r w:rsidRPr="00BD1377">
        <w:rPr>
          <w:rFonts w:ascii="Times New Roman" w:eastAsia="Times New Roman" w:hAnsi="Times New Roman" w:cs="Times New Roman"/>
          <w:noProof/>
          <w:sz w:val="24"/>
          <w:szCs w:val="24"/>
        </w:rPr>
        <w:drawing>
          <wp:inline distT="0" distB="0" distL="0" distR="0" wp14:anchorId="4D652479" wp14:editId="47EA4456">
            <wp:extent cx="5943600" cy="1957070"/>
            <wp:effectExtent l="0" t="0" r="0" b="5080"/>
            <wp:docPr id="1857934708" name="Picture 1" descr="A screenshot of a graph&#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934708" name="Picture 1" descr="A screenshot of a graph&#10;&#10;AI-generated content may be incorrect."/>
                    <pic:cNvPicPr/>
                  </pic:nvPicPr>
                  <pic:blipFill>
                    <a:blip r:embed="rId8"/>
                    <a:stretch>
                      <a:fillRect/>
                    </a:stretch>
                  </pic:blipFill>
                  <pic:spPr>
                    <a:xfrm>
                      <a:off x="0" y="0"/>
                      <a:ext cx="5943600" cy="1957070"/>
                    </a:xfrm>
                    <a:prstGeom prst="rect">
                      <a:avLst/>
                    </a:prstGeom>
                  </pic:spPr>
                </pic:pic>
              </a:graphicData>
            </a:graphic>
          </wp:inline>
        </w:drawing>
      </w:r>
    </w:p>
    <w:p w14:paraId="7A9988F2" w14:textId="754CFE49" w:rsidR="00EC1194" w:rsidRDefault="002610EF" w:rsidP="00D56AFB">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Figure </w:t>
      </w:r>
      <w:r w:rsidR="001C4D97">
        <w:rPr>
          <w:rFonts w:ascii="Times New Roman" w:eastAsia="Times New Roman" w:hAnsi="Times New Roman" w:cs="Times New Roman"/>
          <w:sz w:val="24"/>
          <w:szCs w:val="24"/>
        </w:rPr>
        <w:t>2</w:t>
      </w:r>
      <w:r>
        <w:rPr>
          <w:rFonts w:ascii="Times New Roman" w:eastAsia="Times New Roman" w:hAnsi="Times New Roman" w:cs="Times New Roman"/>
          <w:sz w:val="24"/>
          <w:szCs w:val="24"/>
        </w:rPr>
        <w:t>.</w:t>
      </w:r>
      <w:r w:rsidR="006B5260">
        <w:rPr>
          <w:rFonts w:ascii="Times New Roman" w:eastAsia="Times New Roman" w:hAnsi="Times New Roman" w:cs="Times New Roman"/>
          <w:sz w:val="24"/>
          <w:szCs w:val="24"/>
        </w:rPr>
        <w:t xml:space="preserve"> Conditional probabilities of</w:t>
      </w:r>
      <w:r>
        <w:rPr>
          <w:rFonts w:ascii="Times New Roman" w:eastAsia="Times New Roman" w:hAnsi="Times New Roman" w:cs="Times New Roman"/>
          <w:sz w:val="24"/>
          <w:szCs w:val="24"/>
        </w:rPr>
        <w:t xml:space="preserve"> </w:t>
      </w:r>
      <w:r w:rsidR="006B5260">
        <w:rPr>
          <w:rFonts w:ascii="Times New Roman" w:eastAsia="Times New Roman" w:hAnsi="Times New Roman" w:cs="Times New Roman"/>
          <w:sz w:val="24"/>
          <w:szCs w:val="24"/>
        </w:rPr>
        <w:t xml:space="preserve">six latent classes </w:t>
      </w:r>
      <w:r w:rsidR="00AF736A">
        <w:rPr>
          <w:rFonts w:ascii="Times New Roman" w:eastAsia="Times New Roman" w:hAnsi="Times New Roman" w:cs="Times New Roman"/>
          <w:sz w:val="24"/>
          <w:szCs w:val="24"/>
        </w:rPr>
        <w:t>(</w:t>
      </w:r>
      <w:proofErr w:type="spellStart"/>
      <w:r w:rsidR="00AF736A">
        <w:rPr>
          <w:rFonts w:ascii="Times New Roman" w:eastAsia="Times New Roman" w:hAnsi="Times New Roman" w:cs="Times New Roman"/>
          <w:sz w:val="24"/>
          <w:szCs w:val="24"/>
        </w:rPr>
        <w:t>HState</w:t>
      </w:r>
      <w:proofErr w:type="spellEnd"/>
      <w:r w:rsidR="00AF736A">
        <w:rPr>
          <w:rFonts w:ascii="Times New Roman" w:eastAsia="Times New Roman" w:hAnsi="Times New Roman" w:cs="Times New Roman"/>
          <w:sz w:val="24"/>
          <w:szCs w:val="24"/>
        </w:rPr>
        <w:t xml:space="preserve"> 1 through 6) </w:t>
      </w:r>
      <w:r w:rsidR="006B5260">
        <w:rPr>
          <w:rFonts w:ascii="Times New Roman" w:eastAsia="Times New Roman" w:hAnsi="Times New Roman" w:cs="Times New Roman"/>
          <w:sz w:val="24"/>
          <w:szCs w:val="24"/>
        </w:rPr>
        <w:t xml:space="preserve">for </w:t>
      </w:r>
      <w:r w:rsidR="00AF736A">
        <w:rPr>
          <w:rFonts w:ascii="Times New Roman" w:eastAsia="Times New Roman" w:hAnsi="Times New Roman" w:cs="Times New Roman"/>
          <w:sz w:val="24"/>
          <w:szCs w:val="24"/>
        </w:rPr>
        <w:t xml:space="preserve">BDI depression data. Each </w:t>
      </w:r>
      <w:r w:rsidR="005A7ACA">
        <w:rPr>
          <w:rFonts w:ascii="Times New Roman" w:eastAsia="Times New Roman" w:hAnsi="Times New Roman" w:cs="Times New Roman"/>
          <w:sz w:val="24"/>
          <w:szCs w:val="24"/>
        </w:rPr>
        <w:t xml:space="preserve">stacked </w:t>
      </w:r>
      <w:r w:rsidR="00AF736A">
        <w:rPr>
          <w:rFonts w:ascii="Times New Roman" w:eastAsia="Times New Roman" w:hAnsi="Times New Roman" w:cs="Times New Roman"/>
          <w:sz w:val="24"/>
          <w:szCs w:val="24"/>
        </w:rPr>
        <w:t xml:space="preserve">bar for an item (vertical axis) represents </w:t>
      </w:r>
      <w:r w:rsidR="005A7ACA">
        <w:rPr>
          <w:rFonts w:ascii="Times New Roman" w:eastAsia="Times New Roman" w:hAnsi="Times New Roman" w:cs="Times New Roman"/>
          <w:sz w:val="24"/>
          <w:szCs w:val="24"/>
        </w:rPr>
        <w:t>the conditional probabilities of attaining a response value (0,1,2,3</w:t>
      </w:r>
      <w:r w:rsidR="00BF3357">
        <w:rPr>
          <w:rFonts w:ascii="Times New Roman" w:eastAsia="Times New Roman" w:hAnsi="Times New Roman" w:cs="Times New Roman"/>
          <w:sz w:val="24"/>
          <w:szCs w:val="24"/>
        </w:rPr>
        <w:t xml:space="preserve">) for the item. </w:t>
      </w:r>
      <w:r w:rsidR="00AF736A">
        <w:rPr>
          <w:rFonts w:ascii="Times New Roman" w:eastAsia="Times New Roman" w:hAnsi="Times New Roman" w:cs="Times New Roman"/>
          <w:sz w:val="24"/>
          <w:szCs w:val="24"/>
        </w:rPr>
        <w:t xml:space="preserve"> </w:t>
      </w:r>
    </w:p>
    <w:p w14:paraId="2A82AE07" w14:textId="77777777" w:rsidR="00B57673" w:rsidRDefault="00B57673" w:rsidP="00D56AFB">
      <w:pPr>
        <w:spacing w:after="0" w:line="480" w:lineRule="auto"/>
        <w:rPr>
          <w:rFonts w:ascii="Times New Roman" w:eastAsia="Times New Roman" w:hAnsi="Times New Roman" w:cs="Times New Roman"/>
          <w:sz w:val="24"/>
          <w:szCs w:val="24"/>
        </w:rPr>
      </w:pPr>
    </w:p>
    <w:p w14:paraId="71531041" w14:textId="3E02FBBA" w:rsidR="00AB66F4" w:rsidRDefault="00AB66F4" w:rsidP="00D56AFB">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provide more information about the depression profile of the excluded classes, Figure </w:t>
      </w:r>
      <w:r w:rsidR="004A6BC6">
        <w:rPr>
          <w:rFonts w:ascii="Times New Roman" w:eastAsia="Times New Roman" w:hAnsi="Times New Roman" w:cs="Times New Roman"/>
          <w:sz w:val="24"/>
          <w:szCs w:val="24"/>
        </w:rPr>
        <w:t>3</w:t>
      </w:r>
      <w:r>
        <w:rPr>
          <w:rFonts w:ascii="Times New Roman" w:eastAsia="Times New Roman" w:hAnsi="Times New Roman" w:cs="Times New Roman"/>
          <w:sz w:val="24"/>
          <w:szCs w:val="24"/>
        </w:rPr>
        <w:t xml:space="preserve"> shows the distributions of the BDI total score (range 0-63) across the 6 classes. The medians of the 3 excluded classes are all below 10. The two horizontal lines correspond to thresholds for “mild mood disturbance” and “borderline clinical depression”. Both cutoffs at 10 and 17 were investigated for screening, and evidence for screening was stronger at cutoff=10</w:t>
      </w:r>
      <w:r>
        <w:t xml:space="preserve"> (</w:t>
      </w:r>
      <w:r w:rsidRPr="00021898">
        <w:rPr>
          <w:rFonts w:ascii="Times New Roman" w:hAnsi="Times New Roman" w:cs="Times New Roman"/>
          <w:sz w:val="24"/>
          <w:szCs w:val="24"/>
        </w:rPr>
        <w:t>Norris et al., 1987</w:t>
      </w:r>
      <w:r w:rsidRPr="00021898">
        <w:rPr>
          <w:sz w:val="24"/>
          <w:szCs w:val="24"/>
        </w:rPr>
        <w:t>,</w:t>
      </w:r>
      <w:r>
        <w:t xml:space="preserve"> </w:t>
      </w:r>
      <w:r w:rsidRPr="006948EC">
        <w:rPr>
          <w:rFonts w:ascii="Times New Roman" w:eastAsia="Times New Roman" w:hAnsi="Times New Roman" w:cs="Times New Roman"/>
          <w:sz w:val="24"/>
          <w:szCs w:val="24"/>
        </w:rPr>
        <w:t>Edelstein</w:t>
      </w:r>
      <w:r>
        <w:rPr>
          <w:rFonts w:ascii="Times New Roman" w:eastAsia="Times New Roman" w:hAnsi="Times New Roman" w:cs="Times New Roman"/>
          <w:sz w:val="24"/>
          <w:szCs w:val="24"/>
        </w:rPr>
        <w:t xml:space="preserve"> et al., 2010).  The majority of the 3 excluded classes can be characterized as “the ups and downs are considered normal”. While these labels are not necessarily universal – e.g., different clinical populations have different thresholds, we used the thresholds here as a support for our selection of classes to exclude. Hereafter we refer to the subsample (</w:t>
      </w:r>
      <w:proofErr w:type="spellStart"/>
      <w:r>
        <w:rPr>
          <w:rFonts w:ascii="Times New Roman" w:eastAsia="Times New Roman" w:hAnsi="Times New Roman" w:cs="Times New Roman"/>
          <w:sz w:val="24"/>
          <w:szCs w:val="24"/>
        </w:rPr>
        <w:t>HStates</w:t>
      </w:r>
      <w:proofErr w:type="spellEnd"/>
      <w:r>
        <w:rPr>
          <w:rFonts w:ascii="Times New Roman" w:eastAsia="Times New Roman" w:hAnsi="Times New Roman" w:cs="Times New Roman"/>
          <w:sz w:val="24"/>
          <w:szCs w:val="24"/>
        </w:rPr>
        <w:t xml:space="preserve"> 1,3,5 excluded) being analyzed as the restricted sample. </w:t>
      </w:r>
    </w:p>
    <w:p w14:paraId="596D9CB2" w14:textId="64F0F7F9" w:rsidR="00604BA3" w:rsidRDefault="00604BA3" w:rsidP="00D56AFB">
      <w:pPr>
        <w:spacing w:after="0" w:line="480" w:lineRule="auto"/>
        <w:rPr>
          <w:rFonts w:ascii="Times New Roman" w:eastAsia="Times New Roman" w:hAnsi="Times New Roman" w:cs="Times New Roman"/>
          <w:sz w:val="24"/>
          <w:szCs w:val="24"/>
        </w:rPr>
      </w:pPr>
    </w:p>
    <w:p w14:paraId="5D92B0EC" w14:textId="3708303D" w:rsidR="00604BA3" w:rsidRDefault="00604BA3" w:rsidP="00D56AFB">
      <w:pPr>
        <w:spacing w:after="0" w:line="480" w:lineRule="auto"/>
        <w:rPr>
          <w:rFonts w:ascii="Times New Roman" w:eastAsia="Times New Roman" w:hAnsi="Times New Roman" w:cs="Times New Roman"/>
          <w:sz w:val="24"/>
          <w:szCs w:val="24"/>
        </w:rPr>
      </w:pPr>
      <w:r w:rsidRPr="00604BA3">
        <w:rPr>
          <w:rFonts w:ascii="Times New Roman" w:eastAsia="Times New Roman" w:hAnsi="Times New Roman" w:cs="Times New Roman"/>
          <w:noProof/>
          <w:sz w:val="24"/>
          <w:szCs w:val="24"/>
        </w:rPr>
        <w:drawing>
          <wp:inline distT="0" distB="0" distL="0" distR="0" wp14:anchorId="502F69BA" wp14:editId="1347E557">
            <wp:extent cx="5943600" cy="3174365"/>
            <wp:effectExtent l="0" t="0" r="0" b="6985"/>
            <wp:docPr id="1699528436" name="Picture 1" descr="A graph with a line and a li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9528436" name="Picture 1" descr="A graph with a line and a line&#10;&#10;AI-generated content may be incorrect."/>
                    <pic:cNvPicPr/>
                  </pic:nvPicPr>
                  <pic:blipFill>
                    <a:blip r:embed="rId9"/>
                    <a:stretch>
                      <a:fillRect/>
                    </a:stretch>
                  </pic:blipFill>
                  <pic:spPr>
                    <a:xfrm>
                      <a:off x="0" y="0"/>
                      <a:ext cx="5943600" cy="3174365"/>
                    </a:xfrm>
                    <a:prstGeom prst="rect">
                      <a:avLst/>
                    </a:prstGeom>
                  </pic:spPr>
                </pic:pic>
              </a:graphicData>
            </a:graphic>
          </wp:inline>
        </w:drawing>
      </w:r>
    </w:p>
    <w:p w14:paraId="73F8ED85" w14:textId="74A4CAE7" w:rsidR="00EC1194" w:rsidRDefault="005A6523" w:rsidP="00D56AFB">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Figure 3. Boxplots of distributions of BDI score by latent class. </w:t>
      </w:r>
      <w:r w:rsidR="000B4A34">
        <w:rPr>
          <w:rFonts w:ascii="Times New Roman" w:eastAsia="Times New Roman" w:hAnsi="Times New Roman" w:cs="Times New Roman"/>
          <w:sz w:val="24"/>
          <w:szCs w:val="24"/>
        </w:rPr>
        <w:t>The subsample for which the three classes (</w:t>
      </w:r>
      <w:proofErr w:type="spellStart"/>
      <w:r w:rsidR="000B4A34">
        <w:rPr>
          <w:rFonts w:ascii="Times New Roman" w:eastAsia="Times New Roman" w:hAnsi="Times New Roman" w:cs="Times New Roman"/>
          <w:sz w:val="24"/>
          <w:szCs w:val="24"/>
        </w:rPr>
        <w:t>HState</w:t>
      </w:r>
      <w:proofErr w:type="spellEnd"/>
      <w:r w:rsidR="000B4A34">
        <w:rPr>
          <w:rFonts w:ascii="Times New Roman" w:eastAsia="Times New Roman" w:hAnsi="Times New Roman" w:cs="Times New Roman"/>
          <w:sz w:val="24"/>
          <w:szCs w:val="24"/>
        </w:rPr>
        <w:t xml:space="preserve"> 1,3, and 5) was referred to as the restricted sample.</w:t>
      </w:r>
    </w:p>
    <w:p w14:paraId="29C09014" w14:textId="77777777" w:rsidR="00B57673" w:rsidRDefault="00B57673" w:rsidP="00D56AFB">
      <w:pPr>
        <w:spacing w:after="0" w:line="480" w:lineRule="auto"/>
        <w:rPr>
          <w:rFonts w:ascii="Times New Roman" w:eastAsia="Times New Roman" w:hAnsi="Times New Roman" w:cs="Times New Roman"/>
          <w:sz w:val="24"/>
          <w:szCs w:val="24"/>
        </w:rPr>
      </w:pPr>
    </w:p>
    <w:p w14:paraId="00BD6B2E" w14:textId="4D1FB505" w:rsidR="00912ED0" w:rsidRPr="00912ED0" w:rsidRDefault="00912ED0" w:rsidP="00D56AFB">
      <w:pPr>
        <w:spacing w:after="0" w:line="480" w:lineRule="auto"/>
        <w:rPr>
          <w:rFonts w:ascii="Times New Roman" w:eastAsia="Times New Roman" w:hAnsi="Times New Roman" w:cs="Times New Roman"/>
          <w:i/>
          <w:iCs/>
          <w:sz w:val="24"/>
          <w:szCs w:val="24"/>
        </w:rPr>
      </w:pPr>
      <w:r w:rsidRPr="00912ED0">
        <w:rPr>
          <w:rFonts w:ascii="Times New Roman" w:eastAsia="Times New Roman" w:hAnsi="Times New Roman" w:cs="Times New Roman"/>
          <w:i/>
          <w:iCs/>
          <w:sz w:val="24"/>
          <w:szCs w:val="24"/>
        </w:rPr>
        <w:t>Poset IRT and GRM Analysis for the Restricted Sample</w:t>
      </w:r>
    </w:p>
    <w:p w14:paraId="2F63A763" w14:textId="72BD6FC3" w:rsidR="00C236CE" w:rsidRDefault="00C675CE" w:rsidP="00D56AFB">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 compared </w:t>
      </w:r>
      <w:r w:rsidR="0063684C">
        <w:rPr>
          <w:rFonts w:ascii="Times New Roman" w:eastAsia="Times New Roman" w:hAnsi="Times New Roman" w:cs="Times New Roman"/>
          <w:sz w:val="24"/>
          <w:szCs w:val="24"/>
        </w:rPr>
        <w:t>two calibration</w:t>
      </w:r>
      <w:r>
        <w:rPr>
          <w:rFonts w:ascii="Times New Roman" w:eastAsia="Times New Roman" w:hAnsi="Times New Roman" w:cs="Times New Roman"/>
          <w:sz w:val="24"/>
          <w:szCs w:val="24"/>
        </w:rPr>
        <w:t xml:space="preserve"> procedures- the GRM</w:t>
      </w:r>
      <w:r w:rsidR="00370393">
        <w:rPr>
          <w:rFonts w:ascii="Times New Roman" w:eastAsia="Times New Roman" w:hAnsi="Times New Roman" w:cs="Times New Roman"/>
          <w:sz w:val="24"/>
          <w:szCs w:val="24"/>
        </w:rPr>
        <w:t xml:space="preserve"> and the </w:t>
      </w:r>
      <w:proofErr w:type="spellStart"/>
      <w:r w:rsidR="00370393">
        <w:rPr>
          <w:rFonts w:ascii="Times New Roman" w:eastAsia="Times New Roman" w:hAnsi="Times New Roman" w:cs="Times New Roman"/>
          <w:sz w:val="24"/>
          <w:szCs w:val="24"/>
        </w:rPr>
        <w:t>poset</w:t>
      </w:r>
      <w:proofErr w:type="spellEnd"/>
      <w:r w:rsidR="00370393">
        <w:rPr>
          <w:rFonts w:ascii="Times New Roman" w:eastAsia="Times New Roman" w:hAnsi="Times New Roman" w:cs="Times New Roman"/>
          <w:sz w:val="24"/>
          <w:szCs w:val="24"/>
        </w:rPr>
        <w:t xml:space="preserve"> IRT. </w:t>
      </w:r>
      <w:r w:rsidR="009E79F9">
        <w:rPr>
          <w:rFonts w:ascii="Times New Roman" w:eastAsia="Times New Roman" w:hAnsi="Times New Roman" w:cs="Times New Roman"/>
          <w:sz w:val="24"/>
          <w:szCs w:val="24"/>
        </w:rPr>
        <w:t xml:space="preserve">The right panel in </w:t>
      </w:r>
      <w:r w:rsidR="005025F0">
        <w:rPr>
          <w:rFonts w:ascii="Times New Roman" w:eastAsia="Times New Roman" w:hAnsi="Times New Roman" w:cs="Times New Roman"/>
          <w:sz w:val="24"/>
          <w:szCs w:val="24"/>
        </w:rPr>
        <w:t xml:space="preserve">Table </w:t>
      </w:r>
      <w:r w:rsidR="004A6BC6">
        <w:rPr>
          <w:rFonts w:ascii="Times New Roman" w:eastAsia="Times New Roman" w:hAnsi="Times New Roman" w:cs="Times New Roman"/>
          <w:sz w:val="24"/>
          <w:szCs w:val="24"/>
        </w:rPr>
        <w:t>2</w:t>
      </w:r>
      <w:r w:rsidR="005025F0">
        <w:rPr>
          <w:rFonts w:ascii="Times New Roman" w:eastAsia="Times New Roman" w:hAnsi="Times New Roman" w:cs="Times New Roman"/>
          <w:sz w:val="24"/>
          <w:szCs w:val="24"/>
        </w:rPr>
        <w:t xml:space="preserve"> shows the slope parameters </w:t>
      </w:r>
      <w:r w:rsidR="000D59C7">
        <w:rPr>
          <w:rFonts w:ascii="Times New Roman" w:eastAsia="Times New Roman" w:hAnsi="Times New Roman" w:cs="Times New Roman"/>
          <w:sz w:val="24"/>
          <w:szCs w:val="24"/>
        </w:rPr>
        <w:t xml:space="preserve">for both calibrations for the restricted population. </w:t>
      </w:r>
      <w:r w:rsidR="009B166C">
        <w:rPr>
          <w:rFonts w:ascii="Times New Roman" w:eastAsia="Times New Roman" w:hAnsi="Times New Roman" w:cs="Times New Roman"/>
          <w:sz w:val="24"/>
          <w:szCs w:val="24"/>
        </w:rPr>
        <w:t xml:space="preserve">Not surprisingly, </w:t>
      </w:r>
      <w:proofErr w:type="gramStart"/>
      <w:r w:rsidR="009B166C">
        <w:rPr>
          <w:rFonts w:ascii="Times New Roman" w:eastAsia="Times New Roman" w:hAnsi="Times New Roman" w:cs="Times New Roman"/>
          <w:sz w:val="24"/>
          <w:szCs w:val="24"/>
        </w:rPr>
        <w:t xml:space="preserve">the </w:t>
      </w:r>
      <w:r w:rsidR="009B166C" w:rsidRPr="00BB6B09">
        <w:rPr>
          <w:rFonts w:ascii="Times New Roman" w:eastAsia="Times New Roman" w:hAnsi="Times New Roman" w:cs="Times New Roman"/>
          <w:i/>
          <w:iCs/>
          <w:sz w:val="24"/>
          <w:szCs w:val="24"/>
        </w:rPr>
        <w:t>a</w:t>
      </w:r>
      <w:proofErr w:type="gramEnd"/>
      <w:r w:rsidR="009B166C">
        <w:rPr>
          <w:rFonts w:ascii="Times New Roman" w:eastAsia="Times New Roman" w:hAnsi="Times New Roman" w:cs="Times New Roman"/>
          <w:sz w:val="24"/>
          <w:szCs w:val="24"/>
        </w:rPr>
        <w:t xml:space="preserve"> parameter in the </w:t>
      </w:r>
      <w:r w:rsidR="00BB6B09">
        <w:rPr>
          <w:rFonts w:ascii="Times New Roman" w:eastAsia="Times New Roman" w:hAnsi="Times New Roman" w:cs="Times New Roman"/>
          <w:sz w:val="24"/>
          <w:szCs w:val="24"/>
        </w:rPr>
        <w:t>GRM is much lower than th</w:t>
      </w:r>
      <w:r w:rsidR="009E79F9">
        <w:rPr>
          <w:rFonts w:ascii="Times New Roman" w:eastAsia="Times New Roman" w:hAnsi="Times New Roman" w:cs="Times New Roman"/>
          <w:sz w:val="24"/>
          <w:szCs w:val="24"/>
        </w:rPr>
        <w:t xml:space="preserve">e </w:t>
      </w:r>
      <w:r w:rsidR="009E79F9" w:rsidRPr="009E79F9">
        <w:rPr>
          <w:rFonts w:ascii="Times New Roman" w:eastAsia="Times New Roman" w:hAnsi="Times New Roman" w:cs="Times New Roman"/>
          <w:i/>
          <w:iCs/>
          <w:sz w:val="24"/>
          <w:szCs w:val="24"/>
        </w:rPr>
        <w:t>a</w:t>
      </w:r>
      <w:r w:rsidR="009E79F9">
        <w:rPr>
          <w:rFonts w:ascii="Times New Roman" w:eastAsia="Times New Roman" w:hAnsi="Times New Roman" w:cs="Times New Roman"/>
          <w:sz w:val="24"/>
          <w:szCs w:val="24"/>
        </w:rPr>
        <w:t xml:space="preserve"> parameter</w:t>
      </w:r>
      <w:r w:rsidR="00BB6B09">
        <w:rPr>
          <w:rFonts w:ascii="Times New Roman" w:eastAsia="Times New Roman" w:hAnsi="Times New Roman" w:cs="Times New Roman"/>
          <w:sz w:val="24"/>
          <w:szCs w:val="24"/>
        </w:rPr>
        <w:t xml:space="preserve"> for the entire sample. </w:t>
      </w:r>
      <w:r w:rsidR="00FF1F4A">
        <w:rPr>
          <w:rFonts w:ascii="Times New Roman" w:eastAsia="Times New Roman" w:hAnsi="Times New Roman" w:cs="Times New Roman"/>
          <w:sz w:val="24"/>
          <w:szCs w:val="24"/>
        </w:rPr>
        <w:t xml:space="preserve">As Reise et al. (2020) observed, “the more non-cases are over sampled, the more IRT slope parameters are inflated.” </w:t>
      </w:r>
      <w:r w:rsidR="009B166C">
        <w:rPr>
          <w:rFonts w:ascii="Times New Roman" w:eastAsia="Times New Roman" w:hAnsi="Times New Roman" w:cs="Times New Roman"/>
          <w:sz w:val="24"/>
          <w:szCs w:val="24"/>
        </w:rPr>
        <w:t xml:space="preserve"> </w:t>
      </w:r>
      <w:r w:rsidR="00547DD1">
        <w:rPr>
          <w:rFonts w:ascii="Times New Roman" w:eastAsia="Times New Roman" w:hAnsi="Times New Roman" w:cs="Times New Roman"/>
          <w:sz w:val="24"/>
          <w:szCs w:val="24"/>
        </w:rPr>
        <w:t xml:space="preserve">Comparing </w:t>
      </w:r>
      <w:r w:rsidR="0084141D">
        <w:rPr>
          <w:rFonts w:ascii="Times New Roman" w:eastAsia="Times New Roman" w:hAnsi="Times New Roman" w:cs="Times New Roman"/>
          <w:sz w:val="24"/>
          <w:szCs w:val="24"/>
        </w:rPr>
        <w:t>a</w:t>
      </w:r>
      <w:r w:rsidR="0084141D" w:rsidRPr="00711C8C">
        <w:rPr>
          <w:rFonts w:ascii="Times New Roman" w:eastAsia="Times New Roman" w:hAnsi="Times New Roman" w:cs="Times New Roman"/>
          <w:sz w:val="24"/>
          <w:szCs w:val="24"/>
          <w:vertAlign w:val="subscript"/>
        </w:rPr>
        <w:t>2PL</w:t>
      </w:r>
      <w:r w:rsidR="0084141D">
        <w:rPr>
          <w:rFonts w:ascii="Times New Roman" w:eastAsia="Times New Roman" w:hAnsi="Times New Roman" w:cs="Times New Roman"/>
          <w:sz w:val="24"/>
          <w:szCs w:val="24"/>
          <w:vertAlign w:val="subscript"/>
        </w:rPr>
        <w:t xml:space="preserve"> </w:t>
      </w:r>
      <w:r w:rsidR="0084141D" w:rsidRPr="0084141D">
        <w:rPr>
          <w:rFonts w:ascii="Times New Roman" w:eastAsia="Times New Roman" w:hAnsi="Times New Roman" w:cs="Times New Roman"/>
          <w:sz w:val="24"/>
          <w:szCs w:val="24"/>
        </w:rPr>
        <w:t>and</w:t>
      </w:r>
      <w:r w:rsidR="0084141D">
        <w:rPr>
          <w:rFonts w:ascii="Times New Roman" w:eastAsia="Times New Roman" w:hAnsi="Times New Roman" w:cs="Times New Roman"/>
          <w:sz w:val="24"/>
          <w:szCs w:val="24"/>
          <w:vertAlign w:val="subscript"/>
        </w:rPr>
        <w:t xml:space="preserve"> </w:t>
      </w:r>
      <w:proofErr w:type="spellStart"/>
      <w:r w:rsidR="004869F4" w:rsidRPr="001037CC">
        <w:rPr>
          <w:rFonts w:ascii="Times New Roman" w:eastAsia="Times New Roman" w:hAnsi="Times New Roman" w:cs="Times New Roman"/>
          <w:sz w:val="24"/>
          <w:szCs w:val="24"/>
        </w:rPr>
        <w:t>a</w:t>
      </w:r>
      <w:r w:rsidR="004869F4" w:rsidRPr="00462A09">
        <w:rPr>
          <w:rFonts w:ascii="Times New Roman" w:eastAsia="Times New Roman" w:hAnsi="Times New Roman" w:cs="Times New Roman"/>
          <w:sz w:val="24"/>
          <w:szCs w:val="24"/>
          <w:vertAlign w:val="subscript"/>
        </w:rPr>
        <w:t>GRM</w:t>
      </w:r>
      <w:proofErr w:type="spellEnd"/>
      <w:r w:rsidR="004869F4">
        <w:rPr>
          <w:rFonts w:ascii="Times New Roman" w:eastAsia="Times New Roman" w:hAnsi="Times New Roman" w:cs="Times New Roman"/>
          <w:sz w:val="24"/>
          <w:szCs w:val="24"/>
          <w:vertAlign w:val="subscript"/>
        </w:rPr>
        <w:t xml:space="preserve"> </w:t>
      </w:r>
      <w:r w:rsidR="004869F4" w:rsidRPr="004869F4">
        <w:rPr>
          <w:rFonts w:ascii="Times New Roman" w:eastAsia="Times New Roman" w:hAnsi="Times New Roman" w:cs="Times New Roman"/>
          <w:sz w:val="24"/>
          <w:szCs w:val="24"/>
        </w:rPr>
        <w:t>is revealing</w:t>
      </w:r>
      <w:r w:rsidR="004869F4">
        <w:rPr>
          <w:rFonts w:ascii="Times New Roman" w:eastAsia="Times New Roman" w:hAnsi="Times New Roman" w:cs="Times New Roman"/>
          <w:sz w:val="24"/>
          <w:szCs w:val="24"/>
        </w:rPr>
        <w:t>. The 2PL slope</w:t>
      </w:r>
      <w:r w:rsidR="00BC141C">
        <w:rPr>
          <w:rFonts w:ascii="Times New Roman" w:eastAsia="Times New Roman" w:hAnsi="Times New Roman" w:cs="Times New Roman"/>
          <w:sz w:val="24"/>
          <w:szCs w:val="24"/>
        </w:rPr>
        <w:t xml:space="preserve"> in </w:t>
      </w:r>
      <w:proofErr w:type="spellStart"/>
      <w:r w:rsidR="00BC141C">
        <w:rPr>
          <w:rFonts w:ascii="Times New Roman" w:eastAsia="Times New Roman" w:hAnsi="Times New Roman" w:cs="Times New Roman"/>
          <w:sz w:val="24"/>
          <w:szCs w:val="24"/>
        </w:rPr>
        <w:t>poset</w:t>
      </w:r>
      <w:proofErr w:type="spellEnd"/>
      <w:r w:rsidR="00BC141C">
        <w:rPr>
          <w:rFonts w:ascii="Times New Roman" w:eastAsia="Times New Roman" w:hAnsi="Times New Roman" w:cs="Times New Roman"/>
          <w:sz w:val="24"/>
          <w:szCs w:val="24"/>
        </w:rPr>
        <w:t xml:space="preserve"> IRT</w:t>
      </w:r>
      <w:r w:rsidR="004869F4">
        <w:rPr>
          <w:rFonts w:ascii="Times New Roman" w:eastAsia="Times New Roman" w:hAnsi="Times New Roman" w:cs="Times New Roman"/>
          <w:sz w:val="24"/>
          <w:szCs w:val="24"/>
        </w:rPr>
        <w:t xml:space="preserve"> is much closer to 0</w:t>
      </w:r>
      <w:r w:rsidR="00AE0ED6">
        <w:rPr>
          <w:rFonts w:ascii="Times New Roman" w:eastAsia="Times New Roman" w:hAnsi="Times New Roman" w:cs="Times New Roman"/>
          <w:sz w:val="24"/>
          <w:szCs w:val="24"/>
        </w:rPr>
        <w:t xml:space="preserve">. </w:t>
      </w:r>
      <w:proofErr w:type="gramStart"/>
      <w:r w:rsidR="00AE0ED6">
        <w:rPr>
          <w:rFonts w:ascii="Times New Roman" w:eastAsia="Times New Roman" w:hAnsi="Times New Roman" w:cs="Times New Roman"/>
          <w:sz w:val="24"/>
          <w:szCs w:val="24"/>
        </w:rPr>
        <w:t>With the exception of</w:t>
      </w:r>
      <w:proofErr w:type="gramEnd"/>
      <w:r w:rsidR="00AE0ED6">
        <w:rPr>
          <w:rFonts w:ascii="Times New Roman" w:eastAsia="Times New Roman" w:hAnsi="Times New Roman" w:cs="Times New Roman"/>
          <w:sz w:val="24"/>
          <w:szCs w:val="24"/>
        </w:rPr>
        <w:t xml:space="preserve"> the item Satisfy, all a</w:t>
      </w:r>
      <w:r w:rsidR="00AE0ED6" w:rsidRPr="00711C8C">
        <w:rPr>
          <w:rFonts w:ascii="Times New Roman" w:eastAsia="Times New Roman" w:hAnsi="Times New Roman" w:cs="Times New Roman"/>
          <w:sz w:val="24"/>
          <w:szCs w:val="24"/>
          <w:vertAlign w:val="subscript"/>
        </w:rPr>
        <w:t>2PL</w:t>
      </w:r>
      <w:r w:rsidR="00AE0ED6" w:rsidRPr="00AE0ED6">
        <w:rPr>
          <w:rFonts w:ascii="Times New Roman" w:eastAsia="Times New Roman" w:hAnsi="Times New Roman" w:cs="Times New Roman"/>
          <w:sz w:val="24"/>
          <w:szCs w:val="24"/>
        </w:rPr>
        <w:t xml:space="preserve"> </w:t>
      </w:r>
      <w:r w:rsidR="00361396">
        <w:rPr>
          <w:rFonts w:ascii="Times New Roman" w:eastAsia="Times New Roman" w:hAnsi="Times New Roman" w:cs="Times New Roman"/>
          <w:sz w:val="24"/>
          <w:szCs w:val="24"/>
        </w:rPr>
        <w:t xml:space="preserve">values are </w:t>
      </w:r>
      <w:r w:rsidR="00AE0ED6" w:rsidRPr="00AE0ED6">
        <w:rPr>
          <w:rFonts w:ascii="Times New Roman" w:eastAsia="Times New Roman" w:hAnsi="Times New Roman" w:cs="Times New Roman"/>
          <w:sz w:val="24"/>
          <w:szCs w:val="24"/>
        </w:rPr>
        <w:t>less than 1.0</w:t>
      </w:r>
      <w:r w:rsidR="00AE0ED6">
        <w:rPr>
          <w:rFonts w:ascii="Times New Roman" w:eastAsia="Times New Roman" w:hAnsi="Times New Roman" w:cs="Times New Roman"/>
          <w:sz w:val="24"/>
          <w:szCs w:val="24"/>
        </w:rPr>
        <w:t xml:space="preserve">. </w:t>
      </w:r>
    </w:p>
    <w:p w14:paraId="2A8FF273" w14:textId="77777777" w:rsidR="0008143C" w:rsidRDefault="0008143C" w:rsidP="00A8229A">
      <w:pPr>
        <w:spacing w:after="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Figures 4 and 5 respectively show the item characteristics curves (ICCs) of the </w:t>
      </w:r>
      <w:proofErr w:type="spellStart"/>
      <w:r>
        <w:rPr>
          <w:rFonts w:ascii="Times New Roman" w:eastAsia="Times New Roman" w:hAnsi="Times New Roman" w:cs="Times New Roman"/>
          <w:sz w:val="24"/>
          <w:szCs w:val="24"/>
        </w:rPr>
        <w:t>poset</w:t>
      </w:r>
      <w:proofErr w:type="spellEnd"/>
      <w:r>
        <w:rPr>
          <w:rFonts w:ascii="Times New Roman" w:eastAsia="Times New Roman" w:hAnsi="Times New Roman" w:cs="Times New Roman"/>
          <w:sz w:val="24"/>
          <w:szCs w:val="24"/>
        </w:rPr>
        <w:t xml:space="preserve"> and the GRM for the restricted sample. Consistent with the result from Table 2, Figure 4 shows that for the items worry, sex, look, and tired, the ICC in the binary component are flat, suggesting that there for these items those responded at the level of 0 (e.g., for the worry item 0=“I am no more worried about my health than usual”) have more or less the same overall score as those that responded with other options. Such symptoms appear to be more related to everyday ups and downs that are experienced by the general population and not specific to the more depressed population, and unlikely to be depressive symptoms that are directly </w:t>
      </w:r>
      <w:proofErr w:type="gramStart"/>
      <w:r>
        <w:rPr>
          <w:rFonts w:ascii="Times New Roman" w:eastAsia="Times New Roman" w:hAnsi="Times New Roman" w:cs="Times New Roman"/>
          <w:sz w:val="24"/>
          <w:szCs w:val="24"/>
        </w:rPr>
        <w:t>disease-related</w:t>
      </w:r>
      <w:proofErr w:type="gramEnd"/>
      <w:r>
        <w:rPr>
          <w:rFonts w:ascii="Times New Roman" w:eastAsia="Times New Roman" w:hAnsi="Times New Roman" w:cs="Times New Roman"/>
          <w:sz w:val="24"/>
          <w:szCs w:val="24"/>
        </w:rPr>
        <w:t>. Surprisingly, the binary ICC of the item blame (0=</w:t>
      </w:r>
      <w:r w:rsidRPr="0060428B">
        <w:t xml:space="preserve"> </w:t>
      </w:r>
      <w:r>
        <w:t>“</w:t>
      </w:r>
      <w:r w:rsidRPr="0060428B">
        <w:rPr>
          <w:rFonts w:ascii="Times New Roman" w:eastAsia="Times New Roman" w:hAnsi="Times New Roman" w:cs="Times New Roman"/>
          <w:sz w:val="24"/>
          <w:szCs w:val="24"/>
        </w:rPr>
        <w:t>I don't feel I am any worse than anybody else</w:t>
      </w:r>
      <w:r>
        <w:rPr>
          <w:rFonts w:ascii="Times New Roman" w:eastAsia="Times New Roman" w:hAnsi="Times New Roman" w:cs="Times New Roman"/>
          <w:sz w:val="24"/>
          <w:szCs w:val="24"/>
        </w:rPr>
        <w:t xml:space="preserve">”) has a negative trend compared to other items. It may be that for the cancer population, the blame item is more reflective of self-esteem or self-confidence and not directly related to the overall depression severity, which is reflective in other symptoms that are caused by the disease or treatment. </w:t>
      </w:r>
    </w:p>
    <w:p w14:paraId="6F54FFD7" w14:textId="77777777" w:rsidR="0008143C" w:rsidRDefault="0008143C" w:rsidP="00A8229A">
      <w:pPr>
        <w:spacing w:after="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 also conducted a multigroup (MG) calibration procedure (Bock &amp; </w:t>
      </w:r>
      <w:proofErr w:type="spellStart"/>
      <w:r>
        <w:rPr>
          <w:rFonts w:ascii="Times New Roman" w:eastAsia="Times New Roman" w:hAnsi="Times New Roman" w:cs="Times New Roman"/>
          <w:sz w:val="24"/>
          <w:szCs w:val="24"/>
        </w:rPr>
        <w:t>Zimowski</w:t>
      </w:r>
      <w:proofErr w:type="spellEnd"/>
      <w:r>
        <w:rPr>
          <w:rFonts w:ascii="Times New Roman" w:eastAsia="Times New Roman" w:hAnsi="Times New Roman" w:cs="Times New Roman"/>
          <w:sz w:val="24"/>
          <w:szCs w:val="24"/>
        </w:rPr>
        <w:t>, 1997) in which the entire sample was included for joint calibration using GRM. MG calibration differs from single-group calibration in that it allows the less depressed classes (</w:t>
      </w:r>
      <w:proofErr w:type="spellStart"/>
      <w:r>
        <w:rPr>
          <w:rFonts w:ascii="Times New Roman" w:eastAsia="Times New Roman" w:hAnsi="Times New Roman" w:cs="Times New Roman"/>
          <w:sz w:val="24"/>
          <w:szCs w:val="24"/>
        </w:rPr>
        <w:t>HStates</w:t>
      </w:r>
      <w:proofErr w:type="spellEnd"/>
      <w:r>
        <w:rPr>
          <w:rFonts w:ascii="Times New Roman" w:eastAsia="Times New Roman" w:hAnsi="Times New Roman" w:cs="Times New Roman"/>
          <w:sz w:val="24"/>
          <w:szCs w:val="24"/>
        </w:rPr>
        <w:t xml:space="preserve"> 1,3,5) and the more depressed classes (</w:t>
      </w:r>
      <w:proofErr w:type="spellStart"/>
      <w:r>
        <w:rPr>
          <w:rFonts w:ascii="Times New Roman" w:eastAsia="Times New Roman" w:hAnsi="Times New Roman" w:cs="Times New Roman"/>
          <w:sz w:val="24"/>
          <w:szCs w:val="24"/>
        </w:rPr>
        <w:t>HStates</w:t>
      </w:r>
      <w:proofErr w:type="spellEnd"/>
      <w:r>
        <w:rPr>
          <w:rFonts w:ascii="Times New Roman" w:eastAsia="Times New Roman" w:hAnsi="Times New Roman" w:cs="Times New Roman"/>
          <w:sz w:val="24"/>
          <w:szCs w:val="24"/>
        </w:rPr>
        <w:t xml:space="preserve"> 2,4,6) to have different means and variances in their latent distributions. The GRM item parameters from the MG analysis (details not shown) were quite </w:t>
      </w:r>
      <w:proofErr w:type="gramStart"/>
      <w:r>
        <w:rPr>
          <w:rFonts w:ascii="Times New Roman" w:eastAsia="Times New Roman" w:hAnsi="Times New Roman" w:cs="Times New Roman"/>
          <w:sz w:val="24"/>
          <w:szCs w:val="24"/>
        </w:rPr>
        <w:t>similar to</w:t>
      </w:r>
      <w:proofErr w:type="gramEnd"/>
      <w:r>
        <w:rPr>
          <w:rFonts w:ascii="Times New Roman" w:eastAsia="Times New Roman" w:hAnsi="Times New Roman" w:cs="Times New Roman"/>
          <w:sz w:val="24"/>
          <w:szCs w:val="24"/>
        </w:rPr>
        <w:t xml:space="preserve"> that for the joint calibration without allowing such differences. Interesting, the mean (1.15) and variance (0.72) of the more depressed group is substantially different from those for the less depressed (reference) group, which are respectively set to 0 and 1.  The result shows that mean latent depression score for the more depressed group, which was identified by the LCA, is more than 1 standard deviation from the reference group of the “general” population </w:t>
      </w:r>
      <w:r w:rsidRPr="001B452D">
        <w:rPr>
          <w:rFonts w:ascii="Times New Roman" w:eastAsia="Times New Roman" w:hAnsi="Times New Roman" w:cs="Times New Roman"/>
          <w:sz w:val="24"/>
          <w:szCs w:val="24"/>
        </w:rPr>
        <w:t>and has a lower dispersion.</w:t>
      </w:r>
    </w:p>
    <w:p w14:paraId="43444262" w14:textId="77777777" w:rsidR="001B7444" w:rsidRDefault="001B7444" w:rsidP="00D56AFB">
      <w:pPr>
        <w:spacing w:after="0" w:line="480" w:lineRule="auto"/>
        <w:rPr>
          <w:rFonts w:ascii="Times New Roman" w:eastAsia="Times New Roman" w:hAnsi="Times New Roman" w:cs="Times New Roman"/>
          <w:sz w:val="24"/>
          <w:szCs w:val="24"/>
        </w:rPr>
      </w:pPr>
    </w:p>
    <w:p w14:paraId="3CEA6CE9" w14:textId="16479919" w:rsidR="00351CBE" w:rsidRDefault="001F7216" w:rsidP="00D56AFB">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41F4F71" wp14:editId="4027649B">
            <wp:extent cx="6274435" cy="3884332"/>
            <wp:effectExtent l="0" t="0" r="0" b="1905"/>
            <wp:docPr id="5608810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83767" cy="3890109"/>
                    </a:xfrm>
                    <a:prstGeom prst="rect">
                      <a:avLst/>
                    </a:prstGeom>
                    <a:noFill/>
                  </pic:spPr>
                </pic:pic>
              </a:graphicData>
            </a:graphic>
          </wp:inline>
        </w:drawing>
      </w:r>
    </w:p>
    <w:p w14:paraId="614652B8" w14:textId="5EAAFF57" w:rsidR="001F7216" w:rsidRDefault="0066596A" w:rsidP="00D56AFB">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Figure </w:t>
      </w:r>
      <w:r w:rsidR="0083473D">
        <w:rPr>
          <w:rFonts w:ascii="Times New Roman" w:eastAsia="Times New Roman" w:hAnsi="Times New Roman" w:cs="Times New Roman"/>
          <w:sz w:val="24"/>
          <w:szCs w:val="24"/>
        </w:rPr>
        <w:t>4</w:t>
      </w:r>
      <w:r>
        <w:rPr>
          <w:rFonts w:ascii="Times New Roman" w:eastAsia="Times New Roman" w:hAnsi="Times New Roman" w:cs="Times New Roman"/>
          <w:sz w:val="24"/>
          <w:szCs w:val="24"/>
        </w:rPr>
        <w:t xml:space="preserve">. The </w:t>
      </w:r>
      <w:proofErr w:type="spellStart"/>
      <w:r>
        <w:rPr>
          <w:rFonts w:ascii="Times New Roman" w:eastAsia="Times New Roman" w:hAnsi="Times New Roman" w:cs="Times New Roman"/>
          <w:sz w:val="24"/>
          <w:szCs w:val="24"/>
        </w:rPr>
        <w:t>poset</w:t>
      </w:r>
      <w:proofErr w:type="spellEnd"/>
      <w:r>
        <w:rPr>
          <w:rFonts w:ascii="Times New Roman" w:eastAsia="Times New Roman" w:hAnsi="Times New Roman" w:cs="Times New Roman"/>
          <w:sz w:val="24"/>
          <w:szCs w:val="24"/>
        </w:rPr>
        <w:t xml:space="preserve"> item characteristic curves (ICCs)</w:t>
      </w:r>
      <w:r w:rsidR="001617A0">
        <w:rPr>
          <w:rFonts w:ascii="Times New Roman" w:eastAsia="Times New Roman" w:hAnsi="Times New Roman" w:cs="Times New Roman"/>
          <w:sz w:val="24"/>
          <w:szCs w:val="24"/>
        </w:rPr>
        <w:t xml:space="preserve"> for a restricted sample of depressed participants</w:t>
      </w:r>
      <w:r>
        <w:rPr>
          <w:rFonts w:ascii="Times New Roman" w:eastAsia="Times New Roman" w:hAnsi="Times New Roman" w:cs="Times New Roman"/>
          <w:sz w:val="24"/>
          <w:szCs w:val="24"/>
        </w:rPr>
        <w:t xml:space="preserve">. The labels with _G </w:t>
      </w:r>
      <w:proofErr w:type="gramStart"/>
      <w:r w:rsidR="00FC199A">
        <w:rPr>
          <w:rFonts w:ascii="Times New Roman" w:eastAsia="Times New Roman" w:hAnsi="Times New Roman" w:cs="Times New Roman"/>
          <w:sz w:val="24"/>
          <w:szCs w:val="24"/>
        </w:rPr>
        <w:t>indicates</w:t>
      </w:r>
      <w:proofErr w:type="gramEnd"/>
      <w:r w:rsidR="00FC199A">
        <w:rPr>
          <w:rFonts w:ascii="Times New Roman" w:eastAsia="Times New Roman" w:hAnsi="Times New Roman" w:cs="Times New Roman"/>
          <w:sz w:val="24"/>
          <w:szCs w:val="24"/>
        </w:rPr>
        <w:t xml:space="preserve"> </w:t>
      </w:r>
      <w:r w:rsidR="009C3327">
        <w:rPr>
          <w:rFonts w:ascii="Times New Roman" w:eastAsia="Times New Roman" w:hAnsi="Times New Roman" w:cs="Times New Roman"/>
          <w:sz w:val="24"/>
          <w:szCs w:val="24"/>
        </w:rPr>
        <w:t>graded response</w:t>
      </w:r>
      <w:r w:rsidR="00FC199A">
        <w:rPr>
          <w:rFonts w:ascii="Times New Roman" w:eastAsia="Times New Roman" w:hAnsi="Times New Roman" w:cs="Times New Roman"/>
          <w:sz w:val="24"/>
          <w:szCs w:val="24"/>
        </w:rPr>
        <w:t xml:space="preserve"> and _B indicates binary</w:t>
      </w:r>
      <w:r w:rsidR="009C3327">
        <w:rPr>
          <w:rFonts w:ascii="Times New Roman" w:eastAsia="Times New Roman" w:hAnsi="Times New Roman" w:cs="Times New Roman"/>
          <w:sz w:val="24"/>
          <w:szCs w:val="24"/>
        </w:rPr>
        <w:t xml:space="preserve"> response</w:t>
      </w:r>
      <w:r w:rsidR="00FC199A">
        <w:rPr>
          <w:rFonts w:ascii="Times New Roman" w:eastAsia="Times New Roman" w:hAnsi="Times New Roman" w:cs="Times New Roman"/>
          <w:sz w:val="24"/>
          <w:szCs w:val="24"/>
        </w:rPr>
        <w:t xml:space="preserve">. </w:t>
      </w:r>
      <w:r w:rsidR="009C3327">
        <w:rPr>
          <w:rFonts w:ascii="Times New Roman" w:eastAsia="Times New Roman" w:hAnsi="Times New Roman" w:cs="Times New Roman"/>
          <w:sz w:val="24"/>
          <w:szCs w:val="24"/>
        </w:rPr>
        <w:t xml:space="preserve">P1, P2, and P3 indicate the </w:t>
      </w:r>
      <w:r w:rsidR="008D5846">
        <w:rPr>
          <w:rFonts w:ascii="Times New Roman" w:eastAsia="Times New Roman" w:hAnsi="Times New Roman" w:cs="Times New Roman"/>
          <w:sz w:val="24"/>
          <w:szCs w:val="24"/>
        </w:rPr>
        <w:t xml:space="preserve">ordered categories 1,2, and 3. </w:t>
      </w:r>
    </w:p>
    <w:p w14:paraId="1AD63E7F" w14:textId="22C35D29" w:rsidR="008D5846" w:rsidRDefault="008B572F" w:rsidP="00D56AFB">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47A4741" wp14:editId="0FACB4C3">
            <wp:extent cx="6734676" cy="4260215"/>
            <wp:effectExtent l="0" t="0" r="9525" b="6985"/>
            <wp:docPr id="3403512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742337" cy="4265061"/>
                    </a:xfrm>
                    <a:prstGeom prst="rect">
                      <a:avLst/>
                    </a:prstGeom>
                    <a:noFill/>
                  </pic:spPr>
                </pic:pic>
              </a:graphicData>
            </a:graphic>
          </wp:inline>
        </w:drawing>
      </w:r>
    </w:p>
    <w:p w14:paraId="50E05324" w14:textId="62703524" w:rsidR="00D94AB9" w:rsidRDefault="008B572F" w:rsidP="00D56AFB">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Figure </w:t>
      </w:r>
      <w:r w:rsidR="0083473D">
        <w:rPr>
          <w:rFonts w:ascii="Times New Roman" w:eastAsia="Times New Roman" w:hAnsi="Times New Roman" w:cs="Times New Roman"/>
          <w:sz w:val="24"/>
          <w:szCs w:val="24"/>
        </w:rPr>
        <w:t>5</w:t>
      </w:r>
      <w:r w:rsidR="001617A0" w:rsidRPr="001617A0">
        <w:rPr>
          <w:rFonts w:ascii="Times New Roman" w:eastAsia="Times New Roman" w:hAnsi="Times New Roman" w:cs="Times New Roman"/>
          <w:sz w:val="24"/>
          <w:szCs w:val="24"/>
        </w:rPr>
        <w:t xml:space="preserve">. The </w:t>
      </w:r>
      <w:r w:rsidR="001617A0">
        <w:rPr>
          <w:rFonts w:ascii="Times New Roman" w:eastAsia="Times New Roman" w:hAnsi="Times New Roman" w:cs="Times New Roman"/>
          <w:sz w:val="24"/>
          <w:szCs w:val="24"/>
        </w:rPr>
        <w:t>GRM</w:t>
      </w:r>
      <w:r w:rsidR="001617A0" w:rsidRPr="001617A0">
        <w:rPr>
          <w:rFonts w:ascii="Times New Roman" w:eastAsia="Times New Roman" w:hAnsi="Times New Roman" w:cs="Times New Roman"/>
          <w:sz w:val="24"/>
          <w:szCs w:val="24"/>
        </w:rPr>
        <w:t xml:space="preserve"> item characteristic curves (ICCs) for a restricted sample of depressed participants. P1, P2, P3</w:t>
      </w:r>
      <w:r w:rsidR="001C4556">
        <w:rPr>
          <w:rFonts w:ascii="Times New Roman" w:eastAsia="Times New Roman" w:hAnsi="Times New Roman" w:cs="Times New Roman"/>
          <w:sz w:val="24"/>
          <w:szCs w:val="24"/>
        </w:rPr>
        <w:t>, and P4</w:t>
      </w:r>
      <w:r w:rsidR="001617A0" w:rsidRPr="001617A0">
        <w:rPr>
          <w:rFonts w:ascii="Times New Roman" w:eastAsia="Times New Roman" w:hAnsi="Times New Roman" w:cs="Times New Roman"/>
          <w:sz w:val="24"/>
          <w:szCs w:val="24"/>
        </w:rPr>
        <w:t xml:space="preserve"> indicate the ordered categories </w:t>
      </w:r>
      <w:r w:rsidR="001C4556">
        <w:rPr>
          <w:rFonts w:ascii="Times New Roman" w:eastAsia="Times New Roman" w:hAnsi="Times New Roman" w:cs="Times New Roman"/>
          <w:sz w:val="24"/>
          <w:szCs w:val="24"/>
        </w:rPr>
        <w:t>0,</w:t>
      </w:r>
      <w:r w:rsidR="001617A0" w:rsidRPr="001617A0">
        <w:rPr>
          <w:rFonts w:ascii="Times New Roman" w:eastAsia="Times New Roman" w:hAnsi="Times New Roman" w:cs="Times New Roman"/>
          <w:sz w:val="24"/>
          <w:szCs w:val="24"/>
        </w:rPr>
        <w:t>1,2</w:t>
      </w:r>
      <w:r w:rsidR="001C4556">
        <w:rPr>
          <w:rFonts w:ascii="Times New Roman" w:eastAsia="Times New Roman" w:hAnsi="Times New Roman" w:cs="Times New Roman"/>
          <w:sz w:val="24"/>
          <w:szCs w:val="24"/>
        </w:rPr>
        <w:t xml:space="preserve">, and </w:t>
      </w:r>
      <w:r w:rsidR="001617A0" w:rsidRPr="001617A0">
        <w:rPr>
          <w:rFonts w:ascii="Times New Roman" w:eastAsia="Times New Roman" w:hAnsi="Times New Roman" w:cs="Times New Roman"/>
          <w:sz w:val="24"/>
          <w:szCs w:val="24"/>
        </w:rPr>
        <w:t>3.</w:t>
      </w:r>
    </w:p>
    <w:p w14:paraId="32BFBF46" w14:textId="6061065A" w:rsidR="00D94AB9" w:rsidRPr="00AE07F6" w:rsidRDefault="001B7444" w:rsidP="00D56AFB">
      <w:pPr>
        <w:spacing w:after="0" w:line="480" w:lineRule="auto"/>
        <w:jc w:val="center"/>
        <w:rPr>
          <w:rFonts w:ascii="Times New Roman" w:eastAsia="Times New Roman" w:hAnsi="Times New Roman" w:cs="Times New Roman"/>
          <w:b/>
          <w:bCs/>
          <w:sz w:val="24"/>
          <w:szCs w:val="24"/>
        </w:rPr>
      </w:pPr>
      <w:r w:rsidRPr="00AE07F6">
        <w:rPr>
          <w:rFonts w:ascii="Times New Roman" w:eastAsia="Times New Roman" w:hAnsi="Times New Roman" w:cs="Times New Roman"/>
          <w:b/>
          <w:bCs/>
          <w:sz w:val="24"/>
          <w:szCs w:val="24"/>
        </w:rPr>
        <w:t>Discussion</w:t>
      </w:r>
    </w:p>
    <w:p w14:paraId="222893E9" w14:textId="53CB7893" w:rsidR="00A34448" w:rsidRPr="0087194F" w:rsidRDefault="00A34448" w:rsidP="00D56AFB">
      <w:pPr>
        <w:spacing w:after="0" w:line="480" w:lineRule="auto"/>
        <w:rPr>
          <w:rFonts w:ascii="Times New Roman" w:eastAsia="Times New Roman" w:hAnsi="Times New Roman" w:cs="Times New Roman"/>
          <w:sz w:val="24"/>
          <w:szCs w:val="24"/>
        </w:rPr>
      </w:pPr>
      <w:r w:rsidRPr="0087194F">
        <w:rPr>
          <w:rFonts w:ascii="Times New Roman" w:eastAsia="Times New Roman" w:hAnsi="Times New Roman" w:cs="Times New Roman"/>
          <w:sz w:val="24"/>
          <w:szCs w:val="24"/>
        </w:rPr>
        <w:t xml:space="preserve">Using the </w:t>
      </w:r>
      <w:proofErr w:type="spellStart"/>
      <w:r w:rsidRPr="0087194F">
        <w:rPr>
          <w:rFonts w:ascii="Times New Roman" w:eastAsia="Times New Roman" w:hAnsi="Times New Roman" w:cs="Times New Roman"/>
          <w:sz w:val="24"/>
          <w:szCs w:val="24"/>
        </w:rPr>
        <w:t>poset</w:t>
      </w:r>
      <w:proofErr w:type="spellEnd"/>
      <w:r w:rsidRPr="0087194F">
        <w:rPr>
          <w:rFonts w:ascii="Times New Roman" w:eastAsia="Times New Roman" w:hAnsi="Times New Roman" w:cs="Times New Roman"/>
          <w:sz w:val="24"/>
          <w:szCs w:val="24"/>
        </w:rPr>
        <w:t xml:space="preserve"> IRT approach, this exploratory study demonstrates a method for analyzing scales and items suspected of exhibiting unipolarity while exploring different modeling options. The concept of unipolarity may be better understood as a continuum rather than a binary characteristic. However, in practice, developers of PROs must make a definitive decision regarding whether to include the general population in scaling.</w:t>
      </w:r>
    </w:p>
    <w:p w14:paraId="09BF06D9" w14:textId="77777777" w:rsidR="00A34448" w:rsidRPr="0087194F" w:rsidRDefault="00A34448" w:rsidP="00D56AFB">
      <w:pPr>
        <w:spacing w:after="0" w:line="480" w:lineRule="auto"/>
        <w:rPr>
          <w:rFonts w:ascii="Times New Roman" w:eastAsia="Times New Roman" w:hAnsi="Times New Roman" w:cs="Times New Roman"/>
          <w:sz w:val="24"/>
          <w:szCs w:val="24"/>
        </w:rPr>
      </w:pPr>
      <w:r w:rsidRPr="0087194F">
        <w:rPr>
          <w:rFonts w:ascii="Times New Roman" w:eastAsia="Times New Roman" w:hAnsi="Times New Roman" w:cs="Times New Roman"/>
          <w:sz w:val="24"/>
          <w:szCs w:val="24"/>
        </w:rPr>
        <w:t>PROMIS serves as a useful reference in this context, as most of its PRO measures (&gt;300) use the general population as both a reference and a centering point. This decision is primarily driven by the need to ensure broad applicability of the scale and to facilitate comparisons between diseased individuals and the general population. However, including the general population often introduces the unipolarity dilemma—enhancing the scale’s general relevance at the cost of incorporating individuals for whom the construct is not as meaningful.</w:t>
      </w:r>
    </w:p>
    <w:p w14:paraId="007664F7" w14:textId="77777777" w:rsidR="00A34448" w:rsidRPr="0087194F" w:rsidRDefault="00A34448" w:rsidP="00D56AFB">
      <w:pPr>
        <w:spacing w:after="0" w:line="480" w:lineRule="auto"/>
        <w:rPr>
          <w:rFonts w:ascii="Times New Roman" w:eastAsia="Times New Roman" w:hAnsi="Times New Roman" w:cs="Times New Roman"/>
          <w:sz w:val="24"/>
          <w:szCs w:val="24"/>
        </w:rPr>
      </w:pPr>
      <w:r w:rsidRPr="0087194F">
        <w:rPr>
          <w:rFonts w:ascii="Times New Roman" w:eastAsia="Times New Roman" w:hAnsi="Times New Roman" w:cs="Times New Roman"/>
          <w:sz w:val="24"/>
          <w:szCs w:val="24"/>
        </w:rPr>
        <w:t>This dilemma can also be understood at the item level. For example, in the context of anxiety and depression within a cancer population, some items are relevant to the general population (e.g., those reflecting normal fluctuations in mood), whereas others are more specific to the disease population due to the impact of illness or treatment (e.g., pain, fatigue, and changes in appearance).</w:t>
      </w:r>
    </w:p>
    <w:p w14:paraId="4A6FD426" w14:textId="3C0CCEB8" w:rsidR="00745F29" w:rsidRPr="0087194F" w:rsidRDefault="00492652" w:rsidP="00A8229A">
      <w:pPr>
        <w:spacing w:after="0" w:line="480" w:lineRule="auto"/>
        <w:ind w:firstLine="720"/>
        <w:rPr>
          <w:rFonts w:ascii="Times New Roman" w:eastAsia="Times New Roman" w:hAnsi="Times New Roman" w:cs="Times New Roman"/>
          <w:sz w:val="24"/>
          <w:szCs w:val="24"/>
        </w:rPr>
      </w:pPr>
      <w:r w:rsidRPr="00492652">
        <w:rPr>
          <w:rFonts w:ascii="Times New Roman" w:eastAsia="Times New Roman" w:hAnsi="Times New Roman" w:cs="Times New Roman"/>
          <w:sz w:val="24"/>
          <w:szCs w:val="24"/>
        </w:rPr>
        <w:t xml:space="preserve">The </w:t>
      </w:r>
      <w:proofErr w:type="spellStart"/>
      <w:r w:rsidRPr="00492652">
        <w:rPr>
          <w:rFonts w:ascii="Times New Roman" w:eastAsia="Times New Roman" w:hAnsi="Times New Roman" w:cs="Times New Roman"/>
          <w:sz w:val="24"/>
          <w:szCs w:val="24"/>
        </w:rPr>
        <w:t>poset</w:t>
      </w:r>
      <w:proofErr w:type="spellEnd"/>
      <w:r w:rsidRPr="00492652">
        <w:rPr>
          <w:rFonts w:ascii="Times New Roman" w:eastAsia="Times New Roman" w:hAnsi="Times New Roman" w:cs="Times New Roman"/>
          <w:sz w:val="24"/>
          <w:szCs w:val="24"/>
        </w:rPr>
        <w:t xml:space="preserve"> approach has several advantages</w:t>
      </w:r>
      <w:r w:rsidR="003A7F7B">
        <w:rPr>
          <w:rFonts w:ascii="Times New Roman" w:eastAsia="Times New Roman" w:hAnsi="Times New Roman" w:cs="Times New Roman"/>
          <w:sz w:val="24"/>
          <w:szCs w:val="24"/>
        </w:rPr>
        <w:t xml:space="preserve"> for item banks for unipolar constructs</w:t>
      </w:r>
      <w:r w:rsidRPr="0049265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First, it conceptually distinguishes </w:t>
      </w:r>
      <w:r w:rsidR="003218C3">
        <w:rPr>
          <w:rFonts w:ascii="Times New Roman" w:eastAsia="Times New Roman" w:hAnsi="Times New Roman" w:cs="Times New Roman"/>
          <w:sz w:val="24"/>
          <w:szCs w:val="24"/>
        </w:rPr>
        <w:t>the categories</w:t>
      </w:r>
      <w:r w:rsidR="00C476D9">
        <w:rPr>
          <w:rFonts w:ascii="Times New Roman" w:eastAsia="Times New Roman" w:hAnsi="Times New Roman" w:cs="Times New Roman"/>
          <w:sz w:val="24"/>
          <w:szCs w:val="24"/>
        </w:rPr>
        <w:t xml:space="preserve">. Without the NA option, the </w:t>
      </w:r>
      <w:proofErr w:type="spellStart"/>
      <w:r w:rsidR="00C476D9">
        <w:rPr>
          <w:rFonts w:ascii="Times New Roman" w:eastAsia="Times New Roman" w:hAnsi="Times New Roman" w:cs="Times New Roman"/>
          <w:sz w:val="24"/>
          <w:szCs w:val="24"/>
        </w:rPr>
        <w:t>poset</w:t>
      </w:r>
      <w:proofErr w:type="spellEnd"/>
      <w:r w:rsidR="00C476D9">
        <w:rPr>
          <w:rFonts w:ascii="Times New Roman" w:eastAsia="Times New Roman" w:hAnsi="Times New Roman" w:cs="Times New Roman"/>
          <w:sz w:val="24"/>
          <w:szCs w:val="24"/>
        </w:rPr>
        <w:t xml:space="preserve"> can separate the </w:t>
      </w:r>
      <w:r w:rsidR="00CE6A00">
        <w:rPr>
          <w:rFonts w:ascii="Times New Roman" w:eastAsia="Times New Roman" w:hAnsi="Times New Roman" w:cs="Times New Roman"/>
          <w:sz w:val="24"/>
          <w:szCs w:val="24"/>
        </w:rPr>
        <w:t xml:space="preserve">lowest response such as Never, which is </w:t>
      </w:r>
      <w:r w:rsidR="00C30E31">
        <w:rPr>
          <w:rFonts w:ascii="Times New Roman" w:eastAsia="Times New Roman" w:hAnsi="Times New Roman" w:cs="Times New Roman"/>
          <w:sz w:val="24"/>
          <w:szCs w:val="24"/>
        </w:rPr>
        <w:t>typical for a general population,</w:t>
      </w:r>
      <w:r w:rsidR="00CE6A00">
        <w:rPr>
          <w:rFonts w:ascii="Times New Roman" w:eastAsia="Times New Roman" w:hAnsi="Times New Roman" w:cs="Times New Roman"/>
          <w:sz w:val="24"/>
          <w:szCs w:val="24"/>
        </w:rPr>
        <w:t xml:space="preserve"> from the other options. </w:t>
      </w:r>
      <w:r w:rsidR="00C30E31">
        <w:rPr>
          <w:rFonts w:ascii="Times New Roman" w:eastAsia="Times New Roman" w:hAnsi="Times New Roman" w:cs="Times New Roman"/>
          <w:sz w:val="24"/>
          <w:szCs w:val="24"/>
        </w:rPr>
        <w:t xml:space="preserve">Second, </w:t>
      </w:r>
      <w:r w:rsidR="001436AB">
        <w:rPr>
          <w:rFonts w:ascii="Times New Roman" w:eastAsia="Times New Roman" w:hAnsi="Times New Roman" w:cs="Times New Roman"/>
          <w:sz w:val="24"/>
          <w:szCs w:val="24"/>
        </w:rPr>
        <w:t>t</w:t>
      </w:r>
      <w:r w:rsidR="00E86B31" w:rsidRPr="0087194F">
        <w:rPr>
          <w:rFonts w:ascii="Times New Roman" w:eastAsia="Times New Roman" w:hAnsi="Times New Roman" w:cs="Times New Roman"/>
          <w:sz w:val="24"/>
          <w:szCs w:val="24"/>
        </w:rPr>
        <w:t xml:space="preserve">he </w:t>
      </w:r>
      <w:proofErr w:type="spellStart"/>
      <w:r w:rsidR="00E86B31" w:rsidRPr="0087194F">
        <w:rPr>
          <w:rFonts w:ascii="Times New Roman" w:eastAsia="Times New Roman" w:hAnsi="Times New Roman" w:cs="Times New Roman"/>
          <w:sz w:val="24"/>
          <w:szCs w:val="24"/>
        </w:rPr>
        <w:t>poset</w:t>
      </w:r>
      <w:proofErr w:type="spellEnd"/>
      <w:r w:rsidR="00E86B31" w:rsidRPr="0087194F">
        <w:rPr>
          <w:rFonts w:ascii="Times New Roman" w:eastAsia="Times New Roman" w:hAnsi="Times New Roman" w:cs="Times New Roman"/>
          <w:sz w:val="24"/>
          <w:szCs w:val="24"/>
        </w:rPr>
        <w:t xml:space="preserve"> approach provides a highly flexible framework for analyzing PRO measures that may exhibit unipolarity at the item level. Although this study applied </w:t>
      </w:r>
      <w:proofErr w:type="spellStart"/>
      <w:r w:rsidR="00E86B31" w:rsidRPr="0087194F">
        <w:rPr>
          <w:rFonts w:ascii="Times New Roman" w:eastAsia="Times New Roman" w:hAnsi="Times New Roman" w:cs="Times New Roman"/>
          <w:sz w:val="24"/>
          <w:szCs w:val="24"/>
        </w:rPr>
        <w:t>poset</w:t>
      </w:r>
      <w:proofErr w:type="spellEnd"/>
      <w:r w:rsidR="00E86B31" w:rsidRPr="0087194F">
        <w:rPr>
          <w:rFonts w:ascii="Times New Roman" w:eastAsia="Times New Roman" w:hAnsi="Times New Roman" w:cs="Times New Roman"/>
          <w:sz w:val="24"/>
          <w:szCs w:val="24"/>
        </w:rPr>
        <w:t xml:space="preserve"> IRT to all items in the BDI, the model can be selectively applied to a subset of items. For example, if a particular item is deemed relevant only to the disease population, the </w:t>
      </w:r>
      <w:proofErr w:type="spellStart"/>
      <w:r w:rsidR="00E86B31" w:rsidRPr="0087194F">
        <w:rPr>
          <w:rFonts w:ascii="Times New Roman" w:eastAsia="Times New Roman" w:hAnsi="Times New Roman" w:cs="Times New Roman"/>
          <w:sz w:val="24"/>
          <w:szCs w:val="24"/>
        </w:rPr>
        <w:t>poset</w:t>
      </w:r>
      <w:proofErr w:type="spellEnd"/>
      <w:r w:rsidR="00E86B31" w:rsidRPr="0087194F">
        <w:rPr>
          <w:rFonts w:ascii="Times New Roman" w:eastAsia="Times New Roman" w:hAnsi="Times New Roman" w:cs="Times New Roman"/>
          <w:sz w:val="24"/>
          <w:szCs w:val="24"/>
        </w:rPr>
        <w:t xml:space="preserve"> response model can be applied exclusively to that item.</w:t>
      </w:r>
      <w:r w:rsidR="001436AB">
        <w:rPr>
          <w:rFonts w:ascii="Times New Roman" w:eastAsia="Times New Roman" w:hAnsi="Times New Roman" w:cs="Times New Roman"/>
          <w:sz w:val="24"/>
          <w:szCs w:val="24"/>
        </w:rPr>
        <w:t xml:space="preserve"> </w:t>
      </w:r>
      <w:r w:rsidR="0060770A" w:rsidRPr="0087194F">
        <w:rPr>
          <w:rFonts w:ascii="Times New Roman" w:eastAsia="Times New Roman" w:hAnsi="Times New Roman" w:cs="Times New Roman"/>
          <w:sz w:val="24"/>
          <w:szCs w:val="24"/>
        </w:rPr>
        <w:t xml:space="preserve">As discussed in the </w:t>
      </w:r>
      <w:r w:rsidR="0060770A" w:rsidRPr="0087194F">
        <w:rPr>
          <w:rFonts w:ascii="Times New Roman" w:eastAsia="Times New Roman" w:hAnsi="Times New Roman" w:cs="Times New Roman"/>
          <w:i/>
          <w:iCs/>
          <w:sz w:val="24"/>
          <w:szCs w:val="24"/>
        </w:rPr>
        <w:t>Background</w:t>
      </w:r>
      <w:r w:rsidR="0060770A" w:rsidRPr="0087194F">
        <w:rPr>
          <w:rFonts w:ascii="Times New Roman" w:eastAsia="Times New Roman" w:hAnsi="Times New Roman" w:cs="Times New Roman"/>
          <w:sz w:val="24"/>
          <w:szCs w:val="24"/>
        </w:rPr>
        <w:t xml:space="preserve"> section, distinguishing between relevant and irrelevant items for the general population can be achieved through various strategies</w:t>
      </w:r>
      <w:r w:rsidR="00D64ED7">
        <w:rPr>
          <w:rFonts w:ascii="Times New Roman" w:eastAsia="Times New Roman" w:hAnsi="Times New Roman" w:cs="Times New Roman"/>
          <w:sz w:val="24"/>
          <w:szCs w:val="24"/>
        </w:rPr>
        <w:t xml:space="preserve"> within the </w:t>
      </w:r>
      <w:proofErr w:type="spellStart"/>
      <w:r w:rsidR="00D64ED7">
        <w:rPr>
          <w:rFonts w:ascii="Times New Roman" w:eastAsia="Times New Roman" w:hAnsi="Times New Roman" w:cs="Times New Roman"/>
          <w:sz w:val="24"/>
          <w:szCs w:val="24"/>
        </w:rPr>
        <w:t>poset</w:t>
      </w:r>
      <w:proofErr w:type="spellEnd"/>
      <w:r w:rsidR="00D64ED7">
        <w:rPr>
          <w:rFonts w:ascii="Times New Roman" w:eastAsia="Times New Roman" w:hAnsi="Times New Roman" w:cs="Times New Roman"/>
          <w:sz w:val="24"/>
          <w:szCs w:val="24"/>
        </w:rPr>
        <w:t xml:space="preserve"> formulation</w:t>
      </w:r>
      <w:r w:rsidR="0060770A" w:rsidRPr="0087194F">
        <w:rPr>
          <w:rFonts w:ascii="Times New Roman" w:eastAsia="Times New Roman" w:hAnsi="Times New Roman" w:cs="Times New Roman"/>
          <w:sz w:val="24"/>
          <w:szCs w:val="24"/>
        </w:rPr>
        <w:t>, including the inclusion of an NA option, treating 0 as a distinct category, or folding the 0 option into NA.</w:t>
      </w:r>
      <w:r w:rsidR="00216778">
        <w:rPr>
          <w:rFonts w:ascii="Times New Roman" w:eastAsia="Times New Roman" w:hAnsi="Times New Roman" w:cs="Times New Roman"/>
          <w:sz w:val="24"/>
          <w:szCs w:val="24"/>
        </w:rPr>
        <w:t xml:space="preserve"> </w:t>
      </w:r>
      <w:r w:rsidR="004A5F65">
        <w:rPr>
          <w:rFonts w:ascii="Times New Roman" w:eastAsia="Times New Roman" w:hAnsi="Times New Roman" w:cs="Times New Roman"/>
          <w:sz w:val="24"/>
          <w:szCs w:val="24"/>
        </w:rPr>
        <w:t>While a</w:t>
      </w:r>
      <w:r w:rsidR="00745F29" w:rsidRPr="0087194F">
        <w:rPr>
          <w:rFonts w:ascii="Times New Roman" w:eastAsia="Times New Roman" w:hAnsi="Times New Roman" w:cs="Times New Roman"/>
          <w:sz w:val="24"/>
          <w:szCs w:val="24"/>
        </w:rPr>
        <w:t xml:space="preserve"> limitation of this study is its reliance on a unidimensional IRT framework, wherein both the dichotomous subitem and the ordered subitem are assumed to be driven by a single latent trait</w:t>
      </w:r>
      <w:r w:rsidR="004A5F65">
        <w:rPr>
          <w:rFonts w:ascii="Times New Roman" w:eastAsia="Times New Roman" w:hAnsi="Times New Roman" w:cs="Times New Roman"/>
          <w:sz w:val="24"/>
          <w:szCs w:val="24"/>
        </w:rPr>
        <w:t xml:space="preserve">, </w:t>
      </w:r>
      <w:r w:rsidR="00745F29" w:rsidRPr="0087194F">
        <w:rPr>
          <w:rFonts w:ascii="Times New Roman" w:eastAsia="Times New Roman" w:hAnsi="Times New Roman" w:cs="Times New Roman"/>
          <w:sz w:val="24"/>
          <w:szCs w:val="24"/>
        </w:rPr>
        <w:t>th</w:t>
      </w:r>
      <w:r w:rsidR="004A5F65">
        <w:rPr>
          <w:rFonts w:ascii="Times New Roman" w:eastAsia="Times New Roman" w:hAnsi="Times New Roman" w:cs="Times New Roman"/>
          <w:sz w:val="24"/>
          <w:szCs w:val="24"/>
        </w:rPr>
        <w:t xml:space="preserve">e flexible </w:t>
      </w:r>
      <w:proofErr w:type="spellStart"/>
      <w:r w:rsidR="004A5F65">
        <w:rPr>
          <w:rFonts w:ascii="Times New Roman" w:eastAsia="Times New Roman" w:hAnsi="Times New Roman" w:cs="Times New Roman"/>
          <w:sz w:val="24"/>
          <w:szCs w:val="24"/>
        </w:rPr>
        <w:t>poset</w:t>
      </w:r>
      <w:proofErr w:type="spellEnd"/>
      <w:r w:rsidR="004A5F65">
        <w:rPr>
          <w:rFonts w:ascii="Times New Roman" w:eastAsia="Times New Roman" w:hAnsi="Times New Roman" w:cs="Times New Roman"/>
          <w:sz w:val="24"/>
          <w:szCs w:val="24"/>
        </w:rPr>
        <w:t xml:space="preserve"> </w:t>
      </w:r>
      <w:r w:rsidR="00E243E6">
        <w:rPr>
          <w:rFonts w:ascii="Times New Roman" w:eastAsia="Times New Roman" w:hAnsi="Times New Roman" w:cs="Times New Roman"/>
          <w:sz w:val="24"/>
          <w:szCs w:val="24"/>
        </w:rPr>
        <w:t>framework can be extended to relax the</w:t>
      </w:r>
      <w:r w:rsidR="00745F29" w:rsidRPr="0087194F">
        <w:rPr>
          <w:rFonts w:ascii="Times New Roman" w:eastAsia="Times New Roman" w:hAnsi="Times New Roman" w:cs="Times New Roman"/>
          <w:sz w:val="24"/>
          <w:szCs w:val="24"/>
        </w:rPr>
        <w:t xml:space="preserve"> assumption</w:t>
      </w:r>
      <w:r w:rsidR="009856BF">
        <w:rPr>
          <w:rFonts w:ascii="Times New Roman" w:eastAsia="Times New Roman" w:hAnsi="Times New Roman" w:cs="Times New Roman"/>
          <w:sz w:val="24"/>
          <w:szCs w:val="24"/>
        </w:rPr>
        <w:t xml:space="preserve"> using a</w:t>
      </w:r>
      <w:r w:rsidR="00745F29" w:rsidRPr="0087194F">
        <w:rPr>
          <w:rFonts w:ascii="Times New Roman" w:eastAsia="Times New Roman" w:hAnsi="Times New Roman" w:cs="Times New Roman"/>
          <w:sz w:val="24"/>
          <w:szCs w:val="24"/>
        </w:rPr>
        <w:t xml:space="preserve"> multidimensional </w:t>
      </w:r>
      <w:proofErr w:type="spellStart"/>
      <w:r w:rsidR="00745F29" w:rsidRPr="0087194F">
        <w:rPr>
          <w:rFonts w:ascii="Times New Roman" w:eastAsia="Times New Roman" w:hAnsi="Times New Roman" w:cs="Times New Roman"/>
          <w:sz w:val="24"/>
          <w:szCs w:val="24"/>
        </w:rPr>
        <w:t>poset</w:t>
      </w:r>
      <w:proofErr w:type="spellEnd"/>
      <w:r w:rsidR="00745F29" w:rsidRPr="0087194F">
        <w:rPr>
          <w:rFonts w:ascii="Times New Roman" w:eastAsia="Times New Roman" w:hAnsi="Times New Roman" w:cs="Times New Roman"/>
          <w:sz w:val="24"/>
          <w:szCs w:val="24"/>
        </w:rPr>
        <w:t xml:space="preserve"> IRT approach.</w:t>
      </w:r>
    </w:p>
    <w:p w14:paraId="3480D501" w14:textId="0981A606" w:rsidR="005309A0" w:rsidRDefault="007200AA" w:rsidP="00D56AFB">
      <w:pPr>
        <w:spacing w:after="0" w:line="480" w:lineRule="auto"/>
        <w:rPr>
          <w:rFonts w:ascii="Times New Roman" w:eastAsia="Times New Roman" w:hAnsi="Times New Roman" w:cs="Times New Roman"/>
          <w:sz w:val="24"/>
          <w:szCs w:val="24"/>
        </w:rPr>
      </w:pPr>
      <w:r w:rsidRPr="0087194F">
        <w:rPr>
          <w:rFonts w:ascii="Times New Roman" w:eastAsia="Times New Roman" w:hAnsi="Times New Roman" w:cs="Times New Roman"/>
          <w:sz w:val="24"/>
          <w:szCs w:val="24"/>
        </w:rPr>
        <w:t>In addition to alternative IRT parameterizations, such as the log-logistic model proposed by Reise et al. (2020) for addressing unipolarity, recent work has explored modeling unipolar constructs as multidimensional processes</w:t>
      </w:r>
      <w:r w:rsidR="00365D0D">
        <w:rPr>
          <w:rFonts w:ascii="Times New Roman" w:eastAsia="Times New Roman" w:hAnsi="Times New Roman" w:cs="Times New Roman"/>
          <w:sz w:val="24"/>
          <w:szCs w:val="24"/>
        </w:rPr>
        <w:t xml:space="preserve">. </w:t>
      </w:r>
      <w:r w:rsidR="0088389E">
        <w:rPr>
          <w:rFonts w:ascii="Times New Roman" w:eastAsia="Times New Roman" w:hAnsi="Times New Roman" w:cs="Times New Roman"/>
          <w:sz w:val="24"/>
          <w:szCs w:val="24"/>
        </w:rPr>
        <w:t xml:space="preserve">Magnus and Garnier-Villarreal (2022) described a multidimensional zero-inflated </w:t>
      </w:r>
      <w:r w:rsidR="006F3C2D">
        <w:rPr>
          <w:rFonts w:ascii="Times New Roman" w:eastAsia="Times New Roman" w:hAnsi="Times New Roman" w:cs="Times New Roman"/>
          <w:sz w:val="24"/>
          <w:szCs w:val="24"/>
        </w:rPr>
        <w:t>(MZI) GRM</w:t>
      </w:r>
      <w:r w:rsidR="0088389E">
        <w:rPr>
          <w:rFonts w:ascii="Times New Roman" w:eastAsia="Times New Roman" w:hAnsi="Times New Roman" w:cs="Times New Roman"/>
          <w:sz w:val="24"/>
          <w:szCs w:val="24"/>
        </w:rPr>
        <w:t xml:space="preserve"> to handle</w:t>
      </w:r>
      <w:r w:rsidR="00CC0F3D">
        <w:rPr>
          <w:rFonts w:ascii="Times New Roman" w:eastAsia="Times New Roman" w:hAnsi="Times New Roman" w:cs="Times New Roman"/>
          <w:sz w:val="24"/>
          <w:szCs w:val="24"/>
        </w:rPr>
        <w:t xml:space="preserve"> symptom </w:t>
      </w:r>
      <w:r w:rsidR="00F07076">
        <w:rPr>
          <w:rFonts w:ascii="Times New Roman" w:eastAsia="Times New Roman" w:hAnsi="Times New Roman" w:cs="Times New Roman"/>
          <w:sz w:val="24"/>
          <w:szCs w:val="24"/>
        </w:rPr>
        <w:t>data</w:t>
      </w:r>
      <w:r w:rsidR="00CC0F3D">
        <w:rPr>
          <w:rFonts w:ascii="Times New Roman" w:eastAsia="Times New Roman" w:hAnsi="Times New Roman" w:cs="Times New Roman"/>
          <w:sz w:val="24"/>
          <w:szCs w:val="24"/>
        </w:rPr>
        <w:t xml:space="preserve"> that are</w:t>
      </w:r>
      <w:r w:rsidR="00F07076">
        <w:rPr>
          <w:rFonts w:ascii="Times New Roman" w:eastAsia="Times New Roman" w:hAnsi="Times New Roman" w:cs="Times New Roman"/>
          <w:sz w:val="24"/>
          <w:szCs w:val="24"/>
        </w:rPr>
        <w:t xml:space="preserve"> related to the unipolar phenomenon. </w:t>
      </w:r>
      <w:r w:rsidR="005165E9" w:rsidRPr="005165E9">
        <w:rPr>
          <w:rFonts w:ascii="Times New Roman" w:eastAsia="Times New Roman" w:hAnsi="Times New Roman" w:cs="Times New Roman"/>
          <w:sz w:val="24"/>
          <w:szCs w:val="24"/>
        </w:rPr>
        <w:t>According to the model, two distinct but correlated latent variables underlie ordinal item responses; one represents susceptibility to the construct, whereas the other represents severity.</w:t>
      </w:r>
      <w:r w:rsidR="005165E9">
        <w:rPr>
          <w:rFonts w:ascii="Times New Roman" w:eastAsia="Times New Roman" w:hAnsi="Times New Roman" w:cs="Times New Roman"/>
          <w:sz w:val="24"/>
          <w:szCs w:val="24"/>
        </w:rPr>
        <w:t xml:space="preserve"> </w:t>
      </w:r>
      <w:r w:rsidR="006458F2">
        <w:rPr>
          <w:rFonts w:ascii="Times New Roman" w:eastAsia="Times New Roman" w:hAnsi="Times New Roman" w:cs="Times New Roman"/>
          <w:sz w:val="24"/>
          <w:szCs w:val="24"/>
        </w:rPr>
        <w:t xml:space="preserve">Like the </w:t>
      </w:r>
      <w:proofErr w:type="spellStart"/>
      <w:r w:rsidR="006458F2">
        <w:rPr>
          <w:rFonts w:ascii="Times New Roman" w:eastAsia="Times New Roman" w:hAnsi="Times New Roman" w:cs="Times New Roman"/>
          <w:sz w:val="24"/>
          <w:szCs w:val="24"/>
        </w:rPr>
        <w:t>poset</w:t>
      </w:r>
      <w:proofErr w:type="spellEnd"/>
      <w:r w:rsidR="006458F2">
        <w:rPr>
          <w:rFonts w:ascii="Times New Roman" w:eastAsia="Times New Roman" w:hAnsi="Times New Roman" w:cs="Times New Roman"/>
          <w:sz w:val="24"/>
          <w:szCs w:val="24"/>
        </w:rPr>
        <w:t xml:space="preserve"> formulation</w:t>
      </w:r>
      <w:r w:rsidR="0055428D">
        <w:rPr>
          <w:rFonts w:ascii="Times New Roman" w:eastAsia="Times New Roman" w:hAnsi="Times New Roman" w:cs="Times New Roman"/>
          <w:sz w:val="24"/>
          <w:szCs w:val="24"/>
        </w:rPr>
        <w:t>,</w:t>
      </w:r>
      <w:r w:rsidR="00E15B17">
        <w:rPr>
          <w:rFonts w:ascii="Times New Roman" w:eastAsia="Times New Roman" w:hAnsi="Times New Roman" w:cs="Times New Roman"/>
          <w:sz w:val="24"/>
          <w:szCs w:val="24"/>
        </w:rPr>
        <w:t xml:space="preserve"> </w:t>
      </w:r>
      <w:r w:rsidR="0055428D">
        <w:rPr>
          <w:rFonts w:ascii="Times New Roman" w:eastAsia="Times New Roman" w:hAnsi="Times New Roman" w:cs="Times New Roman"/>
          <w:sz w:val="24"/>
          <w:szCs w:val="24"/>
        </w:rPr>
        <w:t>the MZ</w:t>
      </w:r>
      <w:r w:rsidR="006F3C2D">
        <w:rPr>
          <w:rFonts w:ascii="Times New Roman" w:eastAsia="Times New Roman" w:hAnsi="Times New Roman" w:cs="Times New Roman"/>
          <w:sz w:val="24"/>
          <w:szCs w:val="24"/>
        </w:rPr>
        <w:t xml:space="preserve">I uses </w:t>
      </w:r>
      <w:r w:rsidR="005165E9">
        <w:rPr>
          <w:rFonts w:ascii="Times New Roman" w:eastAsia="Times New Roman" w:hAnsi="Times New Roman" w:cs="Times New Roman"/>
          <w:sz w:val="24"/>
          <w:szCs w:val="24"/>
        </w:rPr>
        <w:t xml:space="preserve">a 2PL IRT model for the </w:t>
      </w:r>
      <w:r w:rsidR="00E15B17">
        <w:rPr>
          <w:rFonts w:ascii="Times New Roman" w:eastAsia="Times New Roman" w:hAnsi="Times New Roman" w:cs="Times New Roman"/>
          <w:sz w:val="24"/>
          <w:szCs w:val="24"/>
        </w:rPr>
        <w:t>component 0/1</w:t>
      </w:r>
      <w:r w:rsidR="008A3EF9">
        <w:rPr>
          <w:rFonts w:ascii="Times New Roman" w:eastAsia="Times New Roman" w:hAnsi="Times New Roman" w:cs="Times New Roman"/>
          <w:sz w:val="24"/>
          <w:szCs w:val="24"/>
        </w:rPr>
        <w:t xml:space="preserve"> (susceptibility), </w:t>
      </w:r>
      <w:r w:rsidR="00E15B17">
        <w:rPr>
          <w:rFonts w:ascii="Times New Roman" w:eastAsia="Times New Roman" w:hAnsi="Times New Roman" w:cs="Times New Roman"/>
          <w:sz w:val="24"/>
          <w:szCs w:val="24"/>
        </w:rPr>
        <w:t xml:space="preserve">and the </w:t>
      </w:r>
      <w:r w:rsidR="008A3EF9">
        <w:rPr>
          <w:rFonts w:ascii="Times New Roman" w:eastAsia="Times New Roman" w:hAnsi="Times New Roman" w:cs="Times New Roman"/>
          <w:sz w:val="24"/>
          <w:szCs w:val="24"/>
        </w:rPr>
        <w:t xml:space="preserve">GRM for the </w:t>
      </w:r>
      <w:r w:rsidR="00E15B17">
        <w:rPr>
          <w:rFonts w:ascii="Times New Roman" w:eastAsia="Times New Roman" w:hAnsi="Times New Roman" w:cs="Times New Roman"/>
          <w:sz w:val="24"/>
          <w:szCs w:val="24"/>
        </w:rPr>
        <w:t>ordinal component</w:t>
      </w:r>
      <w:r w:rsidR="008A3EF9">
        <w:rPr>
          <w:rFonts w:ascii="Times New Roman" w:eastAsia="Times New Roman" w:hAnsi="Times New Roman" w:cs="Times New Roman"/>
          <w:sz w:val="24"/>
          <w:szCs w:val="24"/>
        </w:rPr>
        <w:t xml:space="preserve"> (severity</w:t>
      </w:r>
      <w:r w:rsidR="006458F2">
        <w:rPr>
          <w:rFonts w:ascii="Times New Roman" w:eastAsia="Times New Roman" w:hAnsi="Times New Roman" w:cs="Times New Roman"/>
          <w:sz w:val="24"/>
          <w:szCs w:val="24"/>
        </w:rPr>
        <w:t xml:space="preserve">). </w:t>
      </w:r>
      <w:r w:rsidR="002C3544" w:rsidRPr="00104708">
        <w:rPr>
          <w:rFonts w:ascii="Times New Roman" w:eastAsia="Times New Roman" w:hAnsi="Times New Roman" w:cs="Times New Roman"/>
          <w:sz w:val="24"/>
          <w:szCs w:val="24"/>
        </w:rPr>
        <w:t>Wall,</w:t>
      </w:r>
      <w:r w:rsidR="005B0D89">
        <w:rPr>
          <w:rFonts w:ascii="Times New Roman" w:eastAsia="Times New Roman" w:hAnsi="Times New Roman" w:cs="Times New Roman"/>
          <w:sz w:val="24"/>
          <w:szCs w:val="24"/>
        </w:rPr>
        <w:t xml:space="preserve"> </w:t>
      </w:r>
      <w:r w:rsidR="002C3544" w:rsidRPr="00104708">
        <w:rPr>
          <w:rFonts w:ascii="Times New Roman" w:eastAsia="Times New Roman" w:hAnsi="Times New Roman" w:cs="Times New Roman"/>
          <w:sz w:val="24"/>
          <w:szCs w:val="24"/>
        </w:rPr>
        <w:t xml:space="preserve">Park, </w:t>
      </w:r>
      <w:r w:rsidR="005B0D89">
        <w:rPr>
          <w:rFonts w:ascii="Times New Roman" w:eastAsia="Times New Roman" w:hAnsi="Times New Roman" w:cs="Times New Roman"/>
          <w:sz w:val="24"/>
          <w:szCs w:val="24"/>
        </w:rPr>
        <w:t xml:space="preserve">&amp; </w:t>
      </w:r>
      <w:proofErr w:type="spellStart"/>
      <w:r w:rsidR="002C3544" w:rsidRPr="00104708">
        <w:rPr>
          <w:rFonts w:ascii="Times New Roman" w:eastAsia="Times New Roman" w:hAnsi="Times New Roman" w:cs="Times New Roman"/>
          <w:sz w:val="24"/>
          <w:szCs w:val="24"/>
        </w:rPr>
        <w:t>Moustaki</w:t>
      </w:r>
      <w:proofErr w:type="spellEnd"/>
      <w:r w:rsidR="002C3544" w:rsidRPr="00104708">
        <w:rPr>
          <w:rFonts w:ascii="Times New Roman" w:eastAsia="Times New Roman" w:hAnsi="Times New Roman" w:cs="Times New Roman"/>
          <w:sz w:val="24"/>
          <w:szCs w:val="24"/>
        </w:rPr>
        <w:t xml:space="preserve">, </w:t>
      </w:r>
      <w:r w:rsidR="002C3544">
        <w:rPr>
          <w:rFonts w:ascii="Times New Roman" w:eastAsia="Times New Roman" w:hAnsi="Times New Roman" w:cs="Times New Roman"/>
          <w:sz w:val="24"/>
          <w:szCs w:val="24"/>
        </w:rPr>
        <w:t>(2015)</w:t>
      </w:r>
      <w:r w:rsidR="00D52621">
        <w:rPr>
          <w:rFonts w:ascii="Times New Roman" w:eastAsia="Times New Roman" w:hAnsi="Times New Roman" w:cs="Times New Roman"/>
          <w:sz w:val="24"/>
          <w:szCs w:val="24"/>
        </w:rPr>
        <w:t xml:space="preserve"> proposed a two-part </w:t>
      </w:r>
      <w:r w:rsidR="00AF67F6">
        <w:rPr>
          <w:rFonts w:ascii="Times New Roman" w:eastAsia="Times New Roman" w:hAnsi="Times New Roman" w:cs="Times New Roman"/>
          <w:sz w:val="24"/>
          <w:szCs w:val="24"/>
        </w:rPr>
        <w:t xml:space="preserve">mixture model for accommodating </w:t>
      </w:r>
      <w:r w:rsidR="00D52621">
        <w:rPr>
          <w:rFonts w:ascii="Times New Roman" w:eastAsia="Times New Roman" w:hAnsi="Times New Roman" w:cs="Times New Roman"/>
          <w:sz w:val="24"/>
          <w:szCs w:val="24"/>
        </w:rPr>
        <w:t xml:space="preserve">zero-inflated </w:t>
      </w:r>
      <w:r w:rsidR="00AF67F6">
        <w:rPr>
          <w:rFonts w:ascii="Times New Roman" w:eastAsia="Times New Roman" w:hAnsi="Times New Roman" w:cs="Times New Roman"/>
          <w:sz w:val="24"/>
          <w:szCs w:val="24"/>
        </w:rPr>
        <w:t>data</w:t>
      </w:r>
      <w:r w:rsidR="00395794">
        <w:rPr>
          <w:rFonts w:ascii="Times New Roman" w:eastAsia="Times New Roman" w:hAnsi="Times New Roman" w:cs="Times New Roman"/>
          <w:sz w:val="24"/>
          <w:szCs w:val="24"/>
        </w:rPr>
        <w:t>.</w:t>
      </w:r>
      <w:r w:rsidR="009A4681">
        <w:rPr>
          <w:rFonts w:ascii="Times New Roman" w:eastAsia="Times New Roman" w:hAnsi="Times New Roman" w:cs="Times New Roman"/>
          <w:sz w:val="24"/>
          <w:szCs w:val="24"/>
        </w:rPr>
        <w:t xml:space="preserve"> </w:t>
      </w:r>
      <w:r w:rsidR="00B11CA8">
        <w:rPr>
          <w:rFonts w:ascii="Times New Roman" w:eastAsia="Times New Roman" w:hAnsi="Times New Roman" w:cs="Times New Roman"/>
          <w:sz w:val="24"/>
          <w:szCs w:val="24"/>
        </w:rPr>
        <w:t xml:space="preserve">Strachan and Ip (2021) used a </w:t>
      </w:r>
      <w:r w:rsidR="002717E5">
        <w:rPr>
          <w:rFonts w:ascii="Times New Roman" w:eastAsia="Times New Roman" w:hAnsi="Times New Roman" w:cs="Times New Roman"/>
          <w:sz w:val="24"/>
          <w:szCs w:val="24"/>
        </w:rPr>
        <w:t xml:space="preserve">bivariate latent variable model for </w:t>
      </w:r>
      <w:r w:rsidR="006E10D3">
        <w:rPr>
          <w:rFonts w:ascii="Times New Roman" w:eastAsia="Times New Roman" w:hAnsi="Times New Roman" w:cs="Times New Roman"/>
          <w:sz w:val="24"/>
          <w:szCs w:val="24"/>
        </w:rPr>
        <w:t xml:space="preserve">modeling </w:t>
      </w:r>
      <w:r w:rsidR="00F26AF9">
        <w:rPr>
          <w:rFonts w:ascii="Times New Roman" w:eastAsia="Times New Roman" w:hAnsi="Times New Roman" w:cs="Times New Roman"/>
          <w:sz w:val="24"/>
          <w:szCs w:val="24"/>
        </w:rPr>
        <w:t xml:space="preserve">longitudinal </w:t>
      </w:r>
      <w:r w:rsidR="006E10D3">
        <w:rPr>
          <w:rFonts w:ascii="Times New Roman" w:eastAsia="Times New Roman" w:hAnsi="Times New Roman" w:cs="Times New Roman"/>
          <w:sz w:val="24"/>
          <w:szCs w:val="24"/>
        </w:rPr>
        <w:t xml:space="preserve">attitude </w:t>
      </w:r>
      <w:r w:rsidR="00A17005">
        <w:rPr>
          <w:rFonts w:ascii="Times New Roman" w:eastAsia="Times New Roman" w:hAnsi="Times New Roman" w:cs="Times New Roman"/>
          <w:sz w:val="24"/>
          <w:szCs w:val="24"/>
        </w:rPr>
        <w:t xml:space="preserve">data – one latent variable </w:t>
      </w:r>
      <w:r w:rsidR="00114969">
        <w:rPr>
          <w:rFonts w:ascii="Times New Roman" w:eastAsia="Times New Roman" w:hAnsi="Times New Roman" w:cs="Times New Roman"/>
          <w:sz w:val="24"/>
          <w:szCs w:val="24"/>
        </w:rPr>
        <w:t xml:space="preserve">drives </w:t>
      </w:r>
      <w:r w:rsidR="00F26AF9">
        <w:rPr>
          <w:rFonts w:ascii="Times New Roman" w:eastAsia="Times New Roman" w:hAnsi="Times New Roman" w:cs="Times New Roman"/>
          <w:sz w:val="24"/>
          <w:szCs w:val="24"/>
        </w:rPr>
        <w:t>repeated</w:t>
      </w:r>
      <w:r w:rsidR="00114969">
        <w:rPr>
          <w:rFonts w:ascii="Times New Roman" w:eastAsia="Times New Roman" w:hAnsi="Times New Roman" w:cs="Times New Roman"/>
          <w:sz w:val="24"/>
          <w:szCs w:val="24"/>
        </w:rPr>
        <w:t xml:space="preserve"> response </w:t>
      </w:r>
      <w:r w:rsidR="00F26AF9">
        <w:rPr>
          <w:rFonts w:ascii="Times New Roman" w:eastAsia="Times New Roman" w:hAnsi="Times New Roman" w:cs="Times New Roman"/>
          <w:sz w:val="24"/>
          <w:szCs w:val="24"/>
        </w:rPr>
        <w:t xml:space="preserve">of the same </w:t>
      </w:r>
      <w:r w:rsidR="009C0616">
        <w:rPr>
          <w:rFonts w:ascii="Times New Roman" w:eastAsia="Times New Roman" w:hAnsi="Times New Roman" w:cs="Times New Roman"/>
          <w:sz w:val="24"/>
          <w:szCs w:val="24"/>
        </w:rPr>
        <w:t>attitudinal variable</w:t>
      </w:r>
      <w:r w:rsidR="00114969">
        <w:rPr>
          <w:rFonts w:ascii="Times New Roman" w:eastAsia="Times New Roman" w:hAnsi="Times New Roman" w:cs="Times New Roman"/>
          <w:sz w:val="24"/>
          <w:szCs w:val="24"/>
        </w:rPr>
        <w:t xml:space="preserve"> </w:t>
      </w:r>
      <w:r w:rsidR="006E10D3">
        <w:rPr>
          <w:rFonts w:ascii="Times New Roman" w:eastAsia="Times New Roman" w:hAnsi="Times New Roman" w:cs="Times New Roman"/>
          <w:sz w:val="24"/>
          <w:szCs w:val="24"/>
        </w:rPr>
        <w:t xml:space="preserve">and </w:t>
      </w:r>
      <w:r w:rsidR="00114969">
        <w:rPr>
          <w:rFonts w:ascii="Times New Roman" w:eastAsia="Times New Roman" w:hAnsi="Times New Roman" w:cs="Times New Roman"/>
          <w:sz w:val="24"/>
          <w:szCs w:val="24"/>
        </w:rPr>
        <w:t xml:space="preserve">the other drives </w:t>
      </w:r>
      <w:r w:rsidR="006E10D3">
        <w:rPr>
          <w:rFonts w:ascii="Times New Roman" w:eastAsia="Times New Roman" w:hAnsi="Times New Roman" w:cs="Times New Roman"/>
          <w:sz w:val="24"/>
          <w:szCs w:val="24"/>
        </w:rPr>
        <w:t xml:space="preserve">consistency in </w:t>
      </w:r>
      <w:r w:rsidR="009C0616">
        <w:rPr>
          <w:rFonts w:ascii="Times New Roman" w:eastAsia="Times New Roman" w:hAnsi="Times New Roman" w:cs="Times New Roman"/>
          <w:sz w:val="24"/>
          <w:szCs w:val="24"/>
        </w:rPr>
        <w:t>same variable</w:t>
      </w:r>
      <w:r w:rsidR="00114969">
        <w:rPr>
          <w:rFonts w:ascii="Times New Roman" w:eastAsia="Times New Roman" w:hAnsi="Times New Roman" w:cs="Times New Roman"/>
          <w:sz w:val="24"/>
          <w:szCs w:val="24"/>
        </w:rPr>
        <w:t xml:space="preserve"> over time</w:t>
      </w:r>
      <w:r w:rsidR="00A17005">
        <w:rPr>
          <w:rFonts w:ascii="Times New Roman" w:eastAsia="Times New Roman" w:hAnsi="Times New Roman" w:cs="Times New Roman"/>
          <w:sz w:val="24"/>
          <w:szCs w:val="24"/>
        </w:rPr>
        <w:t xml:space="preserve">. </w:t>
      </w:r>
      <w:r w:rsidR="00114969">
        <w:rPr>
          <w:rFonts w:ascii="Times New Roman" w:eastAsia="Times New Roman" w:hAnsi="Times New Roman" w:cs="Times New Roman"/>
          <w:sz w:val="24"/>
          <w:szCs w:val="24"/>
        </w:rPr>
        <w:t xml:space="preserve">This </w:t>
      </w:r>
      <w:r w:rsidR="00394884">
        <w:rPr>
          <w:rFonts w:ascii="Times New Roman" w:eastAsia="Times New Roman" w:hAnsi="Times New Roman" w:cs="Times New Roman"/>
          <w:sz w:val="24"/>
          <w:szCs w:val="24"/>
        </w:rPr>
        <w:t xml:space="preserve">bivariate </w:t>
      </w:r>
      <w:r w:rsidR="00114969">
        <w:rPr>
          <w:rFonts w:ascii="Times New Roman" w:eastAsia="Times New Roman" w:hAnsi="Times New Roman" w:cs="Times New Roman"/>
          <w:sz w:val="24"/>
          <w:szCs w:val="24"/>
        </w:rPr>
        <w:t xml:space="preserve">model can be </w:t>
      </w:r>
      <w:r w:rsidR="00706C98">
        <w:rPr>
          <w:rFonts w:ascii="Times New Roman" w:eastAsia="Times New Roman" w:hAnsi="Times New Roman" w:cs="Times New Roman"/>
          <w:sz w:val="24"/>
          <w:szCs w:val="24"/>
        </w:rPr>
        <w:t xml:space="preserve">adapted </w:t>
      </w:r>
      <w:r w:rsidR="00394884">
        <w:rPr>
          <w:rFonts w:ascii="Times New Roman" w:eastAsia="Times New Roman" w:hAnsi="Times New Roman" w:cs="Times New Roman"/>
          <w:sz w:val="24"/>
          <w:szCs w:val="24"/>
        </w:rPr>
        <w:t>for</w:t>
      </w:r>
      <w:r w:rsidR="00706C98">
        <w:rPr>
          <w:rFonts w:ascii="Times New Roman" w:eastAsia="Times New Roman" w:hAnsi="Times New Roman" w:cs="Times New Roman"/>
          <w:sz w:val="24"/>
          <w:szCs w:val="24"/>
        </w:rPr>
        <w:t xml:space="preserve"> a </w:t>
      </w:r>
      <w:proofErr w:type="spellStart"/>
      <w:r w:rsidR="00706C98">
        <w:rPr>
          <w:rFonts w:ascii="Times New Roman" w:eastAsia="Times New Roman" w:hAnsi="Times New Roman" w:cs="Times New Roman"/>
          <w:sz w:val="24"/>
          <w:szCs w:val="24"/>
        </w:rPr>
        <w:t>poset</w:t>
      </w:r>
      <w:proofErr w:type="spellEnd"/>
      <w:r w:rsidR="00706C98">
        <w:rPr>
          <w:rFonts w:ascii="Times New Roman" w:eastAsia="Times New Roman" w:hAnsi="Times New Roman" w:cs="Times New Roman"/>
          <w:sz w:val="24"/>
          <w:szCs w:val="24"/>
        </w:rPr>
        <w:t xml:space="preserve"> formulation </w:t>
      </w:r>
      <w:r w:rsidR="00D324C2">
        <w:rPr>
          <w:rFonts w:ascii="Times New Roman" w:eastAsia="Times New Roman" w:hAnsi="Times New Roman" w:cs="Times New Roman"/>
          <w:sz w:val="24"/>
          <w:szCs w:val="24"/>
        </w:rPr>
        <w:t xml:space="preserve">for </w:t>
      </w:r>
      <w:r w:rsidR="00394884">
        <w:rPr>
          <w:rFonts w:ascii="Times New Roman" w:eastAsia="Times New Roman" w:hAnsi="Times New Roman" w:cs="Times New Roman"/>
          <w:sz w:val="24"/>
          <w:szCs w:val="24"/>
        </w:rPr>
        <w:t>alternative modeling process</w:t>
      </w:r>
      <w:r w:rsidR="00E54274">
        <w:rPr>
          <w:rFonts w:ascii="Times New Roman" w:eastAsia="Times New Roman" w:hAnsi="Times New Roman" w:cs="Times New Roman"/>
          <w:sz w:val="24"/>
          <w:szCs w:val="24"/>
        </w:rPr>
        <w:t xml:space="preserve">es.  </w:t>
      </w:r>
      <w:r w:rsidR="00706C98">
        <w:rPr>
          <w:rFonts w:ascii="Times New Roman" w:eastAsia="Times New Roman" w:hAnsi="Times New Roman" w:cs="Times New Roman"/>
          <w:sz w:val="24"/>
          <w:szCs w:val="24"/>
        </w:rPr>
        <w:t xml:space="preserve"> </w:t>
      </w:r>
    </w:p>
    <w:p w14:paraId="2B3FF299" w14:textId="3770C6E0" w:rsidR="005309A0" w:rsidRPr="00D71E9B" w:rsidRDefault="005309A0" w:rsidP="00D71E9B">
      <w:pPr>
        <w:spacing w:before="100" w:beforeAutospacing="1" w:after="100" w:afterAutospacing="1" w:line="240" w:lineRule="auto"/>
        <w:jc w:val="center"/>
        <w:rPr>
          <w:rFonts w:ascii="Times New Roman" w:eastAsia="Times New Roman" w:hAnsi="Times New Roman" w:cs="Times New Roman"/>
          <w:b/>
          <w:bCs/>
          <w:sz w:val="24"/>
          <w:szCs w:val="24"/>
        </w:rPr>
      </w:pPr>
      <w:r w:rsidRPr="00D71E9B">
        <w:rPr>
          <w:rFonts w:ascii="Times New Roman" w:eastAsia="Times New Roman" w:hAnsi="Times New Roman" w:cs="Times New Roman"/>
          <w:b/>
          <w:bCs/>
          <w:sz w:val="24"/>
          <w:szCs w:val="24"/>
        </w:rPr>
        <w:t>Reference</w:t>
      </w:r>
    </w:p>
    <w:p w14:paraId="2C22E62D" w14:textId="2027CE7F" w:rsidR="009810ED" w:rsidRDefault="009810ED" w:rsidP="009810ED">
      <w:pPr>
        <w:spacing w:before="100" w:beforeAutospacing="1" w:after="100" w:afterAutospacing="1" w:line="240" w:lineRule="auto"/>
        <w:rPr>
          <w:rFonts w:ascii="Times New Roman" w:eastAsia="Times New Roman" w:hAnsi="Times New Roman" w:cs="Times New Roman"/>
          <w:sz w:val="24"/>
          <w:szCs w:val="24"/>
        </w:rPr>
      </w:pPr>
      <w:r w:rsidRPr="009E05C3">
        <w:rPr>
          <w:rFonts w:ascii="Times New Roman" w:eastAsia="Times New Roman" w:hAnsi="Times New Roman" w:cs="Times New Roman"/>
          <w:sz w:val="24"/>
          <w:szCs w:val="24"/>
        </w:rPr>
        <w:t xml:space="preserve">Amtmann, </w:t>
      </w:r>
      <w:r>
        <w:rPr>
          <w:rFonts w:ascii="Times New Roman" w:eastAsia="Times New Roman" w:hAnsi="Times New Roman" w:cs="Times New Roman"/>
          <w:sz w:val="24"/>
          <w:szCs w:val="24"/>
        </w:rPr>
        <w:t xml:space="preserve">D., </w:t>
      </w:r>
      <w:r w:rsidRPr="009E05C3">
        <w:rPr>
          <w:rFonts w:ascii="Times New Roman" w:eastAsia="Times New Roman" w:hAnsi="Times New Roman" w:cs="Times New Roman"/>
          <w:sz w:val="24"/>
          <w:szCs w:val="24"/>
        </w:rPr>
        <w:t xml:space="preserve">Cook, </w:t>
      </w:r>
      <w:r>
        <w:rPr>
          <w:rFonts w:ascii="Times New Roman" w:eastAsia="Times New Roman" w:hAnsi="Times New Roman" w:cs="Times New Roman"/>
          <w:sz w:val="24"/>
          <w:szCs w:val="24"/>
        </w:rPr>
        <w:t xml:space="preserve">K.F., </w:t>
      </w:r>
      <w:r w:rsidRPr="009E05C3">
        <w:rPr>
          <w:rFonts w:ascii="Times New Roman" w:eastAsia="Times New Roman" w:hAnsi="Times New Roman" w:cs="Times New Roman"/>
          <w:sz w:val="24"/>
          <w:szCs w:val="24"/>
        </w:rPr>
        <w:t>Jensen,</w:t>
      </w:r>
      <w:r>
        <w:rPr>
          <w:rFonts w:ascii="Times New Roman" w:eastAsia="Times New Roman" w:hAnsi="Times New Roman" w:cs="Times New Roman"/>
          <w:sz w:val="24"/>
          <w:szCs w:val="24"/>
        </w:rPr>
        <w:t xml:space="preserve"> M.P., </w:t>
      </w:r>
      <w:r w:rsidRPr="009E05C3">
        <w:rPr>
          <w:rFonts w:ascii="Times New Roman" w:eastAsia="Times New Roman" w:hAnsi="Times New Roman" w:cs="Times New Roman"/>
          <w:sz w:val="24"/>
          <w:szCs w:val="24"/>
        </w:rPr>
        <w:t xml:space="preserve">Chen, </w:t>
      </w:r>
      <w:r>
        <w:rPr>
          <w:rFonts w:ascii="Times New Roman" w:eastAsia="Times New Roman" w:hAnsi="Times New Roman" w:cs="Times New Roman"/>
          <w:sz w:val="24"/>
          <w:szCs w:val="24"/>
        </w:rPr>
        <w:t xml:space="preserve">W., </w:t>
      </w:r>
      <w:r w:rsidRPr="009E05C3">
        <w:rPr>
          <w:rFonts w:ascii="Times New Roman" w:eastAsia="Times New Roman" w:hAnsi="Times New Roman" w:cs="Times New Roman"/>
          <w:sz w:val="24"/>
          <w:szCs w:val="24"/>
        </w:rPr>
        <w:t>Choi,</w:t>
      </w:r>
      <w:r>
        <w:rPr>
          <w:rFonts w:ascii="Times New Roman" w:eastAsia="Times New Roman" w:hAnsi="Times New Roman" w:cs="Times New Roman"/>
          <w:sz w:val="24"/>
          <w:szCs w:val="24"/>
        </w:rPr>
        <w:t xml:space="preserve"> S.,</w:t>
      </w:r>
      <w:r w:rsidRPr="009E05C3">
        <w:rPr>
          <w:rFonts w:ascii="Times New Roman" w:eastAsia="Times New Roman" w:hAnsi="Times New Roman" w:cs="Times New Roman"/>
          <w:sz w:val="24"/>
          <w:szCs w:val="24"/>
        </w:rPr>
        <w:t xml:space="preserve"> </w:t>
      </w:r>
      <w:proofErr w:type="spellStart"/>
      <w:r w:rsidRPr="009E05C3">
        <w:rPr>
          <w:rFonts w:ascii="Times New Roman" w:eastAsia="Times New Roman" w:hAnsi="Times New Roman" w:cs="Times New Roman"/>
          <w:sz w:val="24"/>
          <w:szCs w:val="24"/>
        </w:rPr>
        <w:t>Revicki</w:t>
      </w:r>
      <w:proofErr w:type="spellEnd"/>
      <w:r w:rsidRPr="009E05C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D.,</w:t>
      </w:r>
      <w:r w:rsidRPr="009E05C3">
        <w:rPr>
          <w:rFonts w:ascii="Times New Roman" w:eastAsia="Times New Roman" w:hAnsi="Times New Roman" w:cs="Times New Roman"/>
          <w:sz w:val="24"/>
          <w:szCs w:val="24"/>
        </w:rPr>
        <w:t xml:space="preserve"> Cella, </w:t>
      </w:r>
      <w:r>
        <w:rPr>
          <w:rFonts w:ascii="Times New Roman" w:eastAsia="Times New Roman" w:hAnsi="Times New Roman" w:cs="Times New Roman"/>
          <w:sz w:val="24"/>
          <w:szCs w:val="24"/>
        </w:rPr>
        <w:t xml:space="preserve">D., </w:t>
      </w:r>
      <w:r w:rsidRPr="009E05C3">
        <w:rPr>
          <w:rFonts w:ascii="Times New Roman" w:eastAsia="Times New Roman" w:hAnsi="Times New Roman" w:cs="Times New Roman"/>
          <w:sz w:val="24"/>
          <w:szCs w:val="24"/>
        </w:rPr>
        <w:t xml:space="preserve">Rothrock, </w:t>
      </w:r>
      <w:r>
        <w:rPr>
          <w:rFonts w:ascii="Times New Roman" w:eastAsia="Times New Roman" w:hAnsi="Times New Roman" w:cs="Times New Roman"/>
          <w:sz w:val="24"/>
          <w:szCs w:val="24"/>
        </w:rPr>
        <w:t xml:space="preserve">N., </w:t>
      </w:r>
      <w:r w:rsidRPr="009E05C3">
        <w:rPr>
          <w:rFonts w:ascii="Times New Roman" w:eastAsia="Times New Roman" w:hAnsi="Times New Roman" w:cs="Times New Roman"/>
          <w:sz w:val="24"/>
          <w:szCs w:val="24"/>
        </w:rPr>
        <w:t xml:space="preserve">Keefe, </w:t>
      </w:r>
      <w:r>
        <w:rPr>
          <w:rFonts w:ascii="Times New Roman" w:eastAsia="Times New Roman" w:hAnsi="Times New Roman" w:cs="Times New Roman"/>
          <w:sz w:val="24"/>
          <w:szCs w:val="24"/>
        </w:rPr>
        <w:t>F.,</w:t>
      </w:r>
      <w:r w:rsidRPr="009E05C3">
        <w:rPr>
          <w:rFonts w:ascii="Times New Roman" w:eastAsia="Times New Roman" w:hAnsi="Times New Roman" w:cs="Times New Roman"/>
          <w:sz w:val="24"/>
          <w:szCs w:val="24"/>
        </w:rPr>
        <w:t xml:space="preserve"> Callahan, </w:t>
      </w:r>
      <w:r>
        <w:rPr>
          <w:rFonts w:ascii="Times New Roman" w:eastAsia="Times New Roman" w:hAnsi="Times New Roman" w:cs="Times New Roman"/>
          <w:sz w:val="24"/>
          <w:szCs w:val="24"/>
        </w:rPr>
        <w:t xml:space="preserve">L., &amp; </w:t>
      </w:r>
      <w:r w:rsidRPr="009E05C3">
        <w:rPr>
          <w:rFonts w:ascii="Times New Roman" w:eastAsia="Times New Roman" w:hAnsi="Times New Roman" w:cs="Times New Roman"/>
          <w:sz w:val="24"/>
          <w:szCs w:val="24"/>
        </w:rPr>
        <w:t>Lai,</w:t>
      </w:r>
      <w:r>
        <w:rPr>
          <w:rFonts w:ascii="Times New Roman" w:eastAsia="Times New Roman" w:hAnsi="Times New Roman" w:cs="Times New Roman"/>
          <w:sz w:val="24"/>
          <w:szCs w:val="24"/>
        </w:rPr>
        <w:t xml:space="preserve"> J. (2010). D</w:t>
      </w:r>
      <w:r w:rsidRPr="009E05C3">
        <w:rPr>
          <w:rFonts w:ascii="Times New Roman" w:eastAsia="Times New Roman" w:hAnsi="Times New Roman" w:cs="Times New Roman"/>
          <w:sz w:val="24"/>
          <w:szCs w:val="24"/>
        </w:rPr>
        <w:t>evelopment of a PROMIS item bank to measure pain interference,</w:t>
      </w:r>
      <w:r>
        <w:rPr>
          <w:rFonts w:ascii="Times New Roman" w:eastAsia="Times New Roman" w:hAnsi="Times New Roman" w:cs="Times New Roman"/>
          <w:sz w:val="24"/>
          <w:szCs w:val="24"/>
        </w:rPr>
        <w:t xml:space="preserve"> Pain, </w:t>
      </w:r>
      <w:r w:rsidRPr="009E05C3">
        <w:rPr>
          <w:rFonts w:ascii="Times New Roman" w:eastAsia="Times New Roman" w:hAnsi="Times New Roman" w:cs="Times New Roman"/>
          <w:sz w:val="24"/>
          <w:szCs w:val="24"/>
        </w:rPr>
        <w:t>150</w:t>
      </w:r>
      <w:r>
        <w:rPr>
          <w:rFonts w:ascii="Times New Roman" w:eastAsia="Times New Roman" w:hAnsi="Times New Roman" w:cs="Times New Roman"/>
          <w:sz w:val="24"/>
          <w:szCs w:val="24"/>
        </w:rPr>
        <w:t xml:space="preserve">, </w:t>
      </w:r>
      <w:r w:rsidRPr="009E05C3">
        <w:rPr>
          <w:rFonts w:ascii="Times New Roman" w:eastAsia="Times New Roman" w:hAnsi="Times New Roman" w:cs="Times New Roman"/>
          <w:sz w:val="24"/>
          <w:szCs w:val="24"/>
        </w:rPr>
        <w:t>173-182</w:t>
      </w:r>
      <w:r>
        <w:rPr>
          <w:rFonts w:ascii="Times New Roman" w:eastAsia="Times New Roman" w:hAnsi="Times New Roman" w:cs="Times New Roman"/>
          <w:sz w:val="24"/>
          <w:szCs w:val="24"/>
        </w:rPr>
        <w:t>.</w:t>
      </w:r>
    </w:p>
    <w:p w14:paraId="376B6050" w14:textId="4AB56650" w:rsidR="009810ED" w:rsidRPr="009810ED" w:rsidRDefault="009810ED" w:rsidP="009810ED">
      <w:pPr>
        <w:spacing w:before="100" w:beforeAutospacing="1" w:after="100" w:afterAutospacing="1" w:line="240" w:lineRule="auto"/>
        <w:rPr>
          <w:rFonts w:ascii="Times New Roman" w:eastAsia="Times New Roman" w:hAnsi="Times New Roman" w:cs="Times New Roman"/>
          <w:sz w:val="24"/>
          <w:szCs w:val="24"/>
        </w:rPr>
      </w:pPr>
      <w:r w:rsidRPr="009810ED">
        <w:rPr>
          <w:rFonts w:ascii="Times New Roman" w:eastAsia="Times New Roman" w:hAnsi="Times New Roman" w:cs="Times New Roman"/>
          <w:sz w:val="24"/>
          <w:szCs w:val="24"/>
        </w:rPr>
        <w:t xml:space="preserve">Avis, N.E., Levine, B., Naughton, M.J., Case, D.L., </w:t>
      </w:r>
      <w:proofErr w:type="spellStart"/>
      <w:r w:rsidRPr="009810ED">
        <w:rPr>
          <w:rFonts w:ascii="Times New Roman" w:eastAsia="Times New Roman" w:hAnsi="Times New Roman" w:cs="Times New Roman"/>
          <w:sz w:val="24"/>
          <w:szCs w:val="24"/>
        </w:rPr>
        <w:t>Naftalis</w:t>
      </w:r>
      <w:proofErr w:type="spellEnd"/>
      <w:r w:rsidRPr="009810ED">
        <w:rPr>
          <w:rFonts w:ascii="Times New Roman" w:eastAsia="Times New Roman" w:hAnsi="Times New Roman" w:cs="Times New Roman"/>
          <w:sz w:val="24"/>
          <w:szCs w:val="24"/>
        </w:rPr>
        <w:t xml:space="preserve">, E., Van Zee K.J. (2013). Age-related longitudinal changes in depressive symptoms following a breast cancer diagnosis and treatment. Breast Cancer Research </w:t>
      </w:r>
      <w:proofErr w:type="gramStart"/>
      <w:r w:rsidRPr="009810ED">
        <w:rPr>
          <w:rFonts w:ascii="Times New Roman" w:eastAsia="Times New Roman" w:hAnsi="Times New Roman" w:cs="Times New Roman"/>
          <w:sz w:val="24"/>
          <w:szCs w:val="24"/>
        </w:rPr>
        <w:t>And</w:t>
      </w:r>
      <w:proofErr w:type="gramEnd"/>
      <w:r w:rsidRPr="009810ED">
        <w:rPr>
          <w:rFonts w:ascii="Times New Roman" w:eastAsia="Times New Roman" w:hAnsi="Times New Roman" w:cs="Times New Roman"/>
          <w:sz w:val="24"/>
          <w:szCs w:val="24"/>
        </w:rPr>
        <w:t xml:space="preserve"> Treatment, 139(1), 199-206.</w:t>
      </w:r>
    </w:p>
    <w:p w14:paraId="59104FDD" w14:textId="2D5A9D81" w:rsidR="009810ED" w:rsidRDefault="009810ED" w:rsidP="009810ED">
      <w:pPr>
        <w:spacing w:before="100" w:beforeAutospacing="1" w:after="100" w:afterAutospacing="1" w:line="240" w:lineRule="auto"/>
        <w:rPr>
          <w:rFonts w:ascii="Times New Roman" w:eastAsia="Times New Roman" w:hAnsi="Times New Roman" w:cs="Times New Roman"/>
          <w:sz w:val="24"/>
          <w:szCs w:val="24"/>
        </w:rPr>
      </w:pPr>
      <w:r w:rsidRPr="009810ED">
        <w:rPr>
          <w:rFonts w:ascii="Times New Roman" w:eastAsia="Times New Roman" w:hAnsi="Times New Roman" w:cs="Times New Roman"/>
          <w:sz w:val="24"/>
          <w:szCs w:val="24"/>
        </w:rPr>
        <w:t xml:space="preserve">Beck, A.T., Ward, C.H., Mendelson, </w:t>
      </w:r>
      <w:proofErr w:type="spellStart"/>
      <w:proofErr w:type="gramStart"/>
      <w:r w:rsidRPr="009810ED">
        <w:rPr>
          <w:rFonts w:ascii="Times New Roman" w:eastAsia="Times New Roman" w:hAnsi="Times New Roman" w:cs="Times New Roman"/>
          <w:sz w:val="24"/>
          <w:szCs w:val="24"/>
        </w:rPr>
        <w:t>M.,Mock</w:t>
      </w:r>
      <w:proofErr w:type="spellEnd"/>
      <w:proofErr w:type="gramEnd"/>
      <w:r w:rsidRPr="009810ED">
        <w:rPr>
          <w:rFonts w:ascii="Times New Roman" w:eastAsia="Times New Roman" w:hAnsi="Times New Roman" w:cs="Times New Roman"/>
          <w:sz w:val="24"/>
          <w:szCs w:val="24"/>
        </w:rPr>
        <w:t>, J., Erbaugh, J. (1961). An inventory for measuring depression. Archive of General Psychiatry, 4, 561-71.</w:t>
      </w:r>
    </w:p>
    <w:p w14:paraId="6999D7ED" w14:textId="273DF4E9" w:rsidR="00137028" w:rsidRDefault="00137028" w:rsidP="005309A0">
      <w:pPr>
        <w:spacing w:before="100" w:beforeAutospacing="1" w:after="100" w:afterAutospacing="1" w:line="240" w:lineRule="auto"/>
        <w:rPr>
          <w:rFonts w:ascii="Times New Roman" w:eastAsia="Times New Roman" w:hAnsi="Times New Roman" w:cs="Times New Roman"/>
          <w:sz w:val="24"/>
          <w:szCs w:val="24"/>
        </w:rPr>
      </w:pPr>
      <w:r w:rsidRPr="00E66637">
        <w:rPr>
          <w:rFonts w:ascii="Times New Roman" w:eastAsia="Times New Roman" w:hAnsi="Times New Roman" w:cs="Times New Roman"/>
          <w:sz w:val="24"/>
          <w:szCs w:val="24"/>
        </w:rPr>
        <w:t xml:space="preserve">Bock, R.D., </w:t>
      </w:r>
      <w:proofErr w:type="spellStart"/>
      <w:r w:rsidRPr="00E66637">
        <w:rPr>
          <w:rFonts w:ascii="Times New Roman" w:eastAsia="Times New Roman" w:hAnsi="Times New Roman" w:cs="Times New Roman"/>
          <w:sz w:val="24"/>
          <w:szCs w:val="24"/>
        </w:rPr>
        <w:t>Zimowski</w:t>
      </w:r>
      <w:proofErr w:type="spellEnd"/>
      <w:r w:rsidRPr="00E66637">
        <w:rPr>
          <w:rFonts w:ascii="Times New Roman" w:eastAsia="Times New Roman" w:hAnsi="Times New Roman" w:cs="Times New Roman"/>
          <w:sz w:val="24"/>
          <w:szCs w:val="24"/>
        </w:rPr>
        <w:t xml:space="preserve">, M.F. (1997). Multiple Group IRT. In: van der Linden, W.J., Hambleton, R.K. (eds) Handbook of Modern Item Response Theory. Springer, New York, NY. </w:t>
      </w:r>
      <w:hyperlink r:id="rId12" w:history="1">
        <w:r w:rsidRPr="009526C2">
          <w:rPr>
            <w:rStyle w:val="Hyperlink"/>
            <w:rFonts w:ascii="Times New Roman" w:eastAsia="Times New Roman" w:hAnsi="Times New Roman" w:cs="Times New Roman"/>
            <w:sz w:val="24"/>
            <w:szCs w:val="24"/>
          </w:rPr>
          <w:t>https://doi.org/10.1007/978-1-4757-2691-6_25</w:t>
        </w:r>
      </w:hyperlink>
    </w:p>
    <w:p w14:paraId="0161F317" w14:textId="5CDB7163" w:rsidR="009810ED" w:rsidRDefault="009810ED" w:rsidP="005309A0">
      <w:pPr>
        <w:spacing w:before="100" w:beforeAutospacing="1" w:after="100" w:afterAutospacing="1" w:line="240" w:lineRule="auto"/>
        <w:rPr>
          <w:rFonts w:ascii="Times New Roman" w:eastAsia="Times New Roman" w:hAnsi="Times New Roman" w:cs="Times New Roman"/>
          <w:sz w:val="24"/>
          <w:szCs w:val="24"/>
        </w:rPr>
      </w:pPr>
      <w:proofErr w:type="spellStart"/>
      <w:r w:rsidRPr="00C42857">
        <w:rPr>
          <w:rFonts w:ascii="Times New Roman" w:eastAsia="Times New Roman" w:hAnsi="Times New Roman" w:cs="Times New Roman"/>
          <w:sz w:val="24"/>
          <w:szCs w:val="24"/>
        </w:rPr>
        <w:t>Churruca</w:t>
      </w:r>
      <w:proofErr w:type="spellEnd"/>
      <w:r w:rsidRPr="00C42857">
        <w:rPr>
          <w:rFonts w:ascii="Times New Roman" w:eastAsia="Times New Roman" w:hAnsi="Times New Roman" w:cs="Times New Roman"/>
          <w:sz w:val="24"/>
          <w:szCs w:val="24"/>
        </w:rPr>
        <w:t xml:space="preserve"> K, Pomare C, Ellis LA, Long JC, Henderson SB, Murphy LED, Leahy CJ, Braithwaite J. Patient-reported outcome measures (PROMs): A review of generic and condition-specific measures and a discussion of trends and issues.</w:t>
      </w:r>
      <w:r>
        <w:rPr>
          <w:rFonts w:ascii="Times New Roman" w:eastAsia="Times New Roman" w:hAnsi="Times New Roman" w:cs="Times New Roman"/>
          <w:sz w:val="24"/>
          <w:szCs w:val="24"/>
        </w:rPr>
        <w:t xml:space="preserve"> (2021).</w:t>
      </w:r>
      <w:r w:rsidRPr="00C42857">
        <w:rPr>
          <w:rFonts w:ascii="Times New Roman" w:eastAsia="Times New Roman" w:hAnsi="Times New Roman" w:cs="Times New Roman"/>
          <w:sz w:val="24"/>
          <w:szCs w:val="24"/>
        </w:rPr>
        <w:t xml:space="preserve"> Health Expect</w:t>
      </w:r>
      <w:r>
        <w:rPr>
          <w:rFonts w:ascii="Times New Roman" w:eastAsia="Times New Roman" w:hAnsi="Times New Roman" w:cs="Times New Roman"/>
          <w:sz w:val="24"/>
          <w:szCs w:val="24"/>
        </w:rPr>
        <w:t xml:space="preserve">ations, </w:t>
      </w:r>
      <w:r w:rsidRPr="00C42857">
        <w:rPr>
          <w:rFonts w:ascii="Times New Roman" w:eastAsia="Times New Roman" w:hAnsi="Times New Roman" w:cs="Times New Roman"/>
          <w:sz w:val="24"/>
          <w:szCs w:val="24"/>
        </w:rPr>
        <w:t xml:space="preserve">24(4):1015-1024. </w:t>
      </w:r>
      <w:proofErr w:type="spellStart"/>
      <w:r w:rsidRPr="00C42857">
        <w:rPr>
          <w:rFonts w:ascii="Times New Roman" w:eastAsia="Times New Roman" w:hAnsi="Times New Roman" w:cs="Times New Roman"/>
          <w:sz w:val="24"/>
          <w:szCs w:val="24"/>
        </w:rPr>
        <w:t>doi</w:t>
      </w:r>
      <w:proofErr w:type="spellEnd"/>
      <w:r w:rsidRPr="00C42857">
        <w:rPr>
          <w:rFonts w:ascii="Times New Roman" w:eastAsia="Times New Roman" w:hAnsi="Times New Roman" w:cs="Times New Roman"/>
          <w:sz w:val="24"/>
          <w:szCs w:val="24"/>
        </w:rPr>
        <w:t xml:space="preserve">: 10.1111/hex.13254. </w:t>
      </w:r>
      <w:proofErr w:type="spellStart"/>
      <w:r w:rsidRPr="00C42857">
        <w:rPr>
          <w:rFonts w:ascii="Times New Roman" w:eastAsia="Times New Roman" w:hAnsi="Times New Roman" w:cs="Times New Roman"/>
          <w:sz w:val="24"/>
          <w:szCs w:val="24"/>
        </w:rPr>
        <w:t>Epub</w:t>
      </w:r>
      <w:proofErr w:type="spellEnd"/>
      <w:r w:rsidRPr="00C42857">
        <w:rPr>
          <w:rFonts w:ascii="Times New Roman" w:eastAsia="Times New Roman" w:hAnsi="Times New Roman" w:cs="Times New Roman"/>
          <w:sz w:val="24"/>
          <w:szCs w:val="24"/>
        </w:rPr>
        <w:t xml:space="preserve"> 2021 May 5. PMID: 33949755; PMCID: PMC8369118.</w:t>
      </w:r>
    </w:p>
    <w:p w14:paraId="252203B3" w14:textId="047176B1" w:rsidR="00C30EEB" w:rsidRDefault="00C30EEB" w:rsidP="005309A0">
      <w:pPr>
        <w:spacing w:before="100" w:beforeAutospacing="1" w:after="100" w:afterAutospacing="1" w:line="240" w:lineRule="auto"/>
        <w:rPr>
          <w:rFonts w:ascii="Times New Roman" w:eastAsia="Times New Roman" w:hAnsi="Times New Roman" w:cs="Times New Roman"/>
          <w:sz w:val="24"/>
          <w:szCs w:val="24"/>
        </w:rPr>
      </w:pPr>
      <w:r w:rsidRPr="002D1FD1">
        <w:rPr>
          <w:rFonts w:ascii="Times New Roman" w:eastAsia="Times New Roman" w:hAnsi="Times New Roman" w:cs="Times New Roman"/>
          <w:sz w:val="24"/>
          <w:szCs w:val="24"/>
        </w:rPr>
        <w:t xml:space="preserve">Edelen MO, Tucker JS, Shadel WG, Stucky BD, Cai L. Toward a more systematic assessment of smoking: Development of a smoking module for PROMIS. Addictive Behaviors. </w:t>
      </w:r>
      <w:proofErr w:type="gramStart"/>
      <w:r w:rsidRPr="002D1FD1">
        <w:rPr>
          <w:rFonts w:ascii="Times New Roman" w:eastAsia="Times New Roman" w:hAnsi="Times New Roman" w:cs="Times New Roman"/>
          <w:sz w:val="24"/>
          <w:szCs w:val="24"/>
        </w:rPr>
        <w:t>2012;37:1278</w:t>
      </w:r>
      <w:proofErr w:type="gramEnd"/>
      <w:r w:rsidRPr="002D1FD1">
        <w:rPr>
          <w:rFonts w:ascii="Times New Roman" w:eastAsia="Times New Roman" w:hAnsi="Times New Roman" w:cs="Times New Roman"/>
          <w:sz w:val="24"/>
          <w:szCs w:val="24"/>
        </w:rPr>
        <w:t xml:space="preserve">–1284. </w:t>
      </w:r>
      <w:proofErr w:type="spellStart"/>
      <w:r w:rsidRPr="002D1FD1">
        <w:rPr>
          <w:rFonts w:ascii="Times New Roman" w:eastAsia="Times New Roman" w:hAnsi="Times New Roman" w:cs="Times New Roman"/>
          <w:sz w:val="24"/>
          <w:szCs w:val="24"/>
        </w:rPr>
        <w:t>doi</w:t>
      </w:r>
      <w:proofErr w:type="spellEnd"/>
      <w:r w:rsidRPr="002D1FD1">
        <w:rPr>
          <w:rFonts w:ascii="Times New Roman" w:eastAsia="Times New Roman" w:hAnsi="Times New Roman" w:cs="Times New Roman"/>
          <w:sz w:val="24"/>
          <w:szCs w:val="24"/>
        </w:rPr>
        <w:t>: 10.1097/01.mlr.0000245251.83359.8c.</w:t>
      </w:r>
    </w:p>
    <w:p w14:paraId="42B8557F" w14:textId="5FE6679E" w:rsidR="009810ED" w:rsidRDefault="009810ED" w:rsidP="005309A0">
      <w:pPr>
        <w:spacing w:before="100" w:beforeAutospacing="1" w:after="100" w:afterAutospacing="1" w:line="240" w:lineRule="auto"/>
        <w:rPr>
          <w:rFonts w:ascii="Times New Roman" w:eastAsia="Times New Roman" w:hAnsi="Times New Roman" w:cs="Times New Roman"/>
          <w:sz w:val="24"/>
          <w:szCs w:val="24"/>
        </w:rPr>
      </w:pPr>
      <w:r w:rsidRPr="007D7079">
        <w:rPr>
          <w:rFonts w:ascii="Times New Roman" w:eastAsia="Times New Roman" w:hAnsi="Times New Roman" w:cs="Times New Roman"/>
          <w:sz w:val="24"/>
          <w:szCs w:val="24"/>
        </w:rPr>
        <w:t xml:space="preserve">Edelstein, </w:t>
      </w:r>
      <w:r>
        <w:rPr>
          <w:rFonts w:ascii="Times New Roman" w:eastAsia="Times New Roman" w:hAnsi="Times New Roman" w:cs="Times New Roman"/>
          <w:sz w:val="24"/>
          <w:szCs w:val="24"/>
        </w:rPr>
        <w:t xml:space="preserve">B.A., </w:t>
      </w:r>
      <w:proofErr w:type="spellStart"/>
      <w:r w:rsidRPr="007D7079">
        <w:rPr>
          <w:rFonts w:ascii="Times New Roman" w:eastAsia="Times New Roman" w:hAnsi="Times New Roman" w:cs="Times New Roman"/>
          <w:sz w:val="24"/>
          <w:szCs w:val="24"/>
        </w:rPr>
        <w:t>Drozdick</w:t>
      </w:r>
      <w:proofErr w:type="spellEnd"/>
      <w:r>
        <w:rPr>
          <w:rFonts w:ascii="Times New Roman" w:eastAsia="Times New Roman" w:hAnsi="Times New Roman" w:cs="Times New Roman"/>
          <w:sz w:val="24"/>
          <w:szCs w:val="24"/>
        </w:rPr>
        <w:t>, L.W.</w:t>
      </w:r>
      <w:r w:rsidRPr="007D7079">
        <w:rPr>
          <w:rFonts w:ascii="Times New Roman" w:eastAsia="Times New Roman" w:hAnsi="Times New Roman" w:cs="Times New Roman"/>
          <w:sz w:val="24"/>
          <w:szCs w:val="24"/>
        </w:rPr>
        <w:t>, Ciliberti,</w:t>
      </w:r>
      <w:r>
        <w:rPr>
          <w:rFonts w:ascii="Times New Roman" w:eastAsia="Times New Roman" w:hAnsi="Times New Roman" w:cs="Times New Roman"/>
          <w:sz w:val="24"/>
          <w:szCs w:val="24"/>
        </w:rPr>
        <w:t xml:space="preserve"> C.M. (2010). </w:t>
      </w:r>
      <w:r w:rsidRPr="007D7079">
        <w:rPr>
          <w:rFonts w:ascii="Times New Roman" w:eastAsia="Times New Roman" w:hAnsi="Times New Roman" w:cs="Times New Roman"/>
          <w:sz w:val="24"/>
          <w:szCs w:val="24"/>
        </w:rPr>
        <w:t>Assessment of Depression and Bereavement in Older Adults</w:t>
      </w:r>
      <w:r>
        <w:rPr>
          <w:rFonts w:ascii="Times New Roman" w:eastAsia="Times New Roman" w:hAnsi="Times New Roman" w:cs="Times New Roman"/>
          <w:sz w:val="24"/>
          <w:szCs w:val="24"/>
        </w:rPr>
        <w:t xml:space="preserve">. In </w:t>
      </w:r>
      <w:r w:rsidRPr="007D7079">
        <w:rPr>
          <w:rFonts w:ascii="Times New Roman" w:eastAsia="Times New Roman" w:hAnsi="Times New Roman" w:cs="Times New Roman"/>
          <w:sz w:val="24"/>
          <w:szCs w:val="24"/>
        </w:rPr>
        <w:t>P</w:t>
      </w:r>
      <w:r>
        <w:rPr>
          <w:rFonts w:ascii="Times New Roman" w:eastAsia="Times New Roman" w:hAnsi="Times New Roman" w:cs="Times New Roman"/>
          <w:sz w:val="24"/>
          <w:szCs w:val="24"/>
        </w:rPr>
        <w:t>.</w:t>
      </w:r>
      <w:r w:rsidRPr="007D7079">
        <w:rPr>
          <w:rFonts w:ascii="Times New Roman" w:eastAsia="Times New Roman" w:hAnsi="Times New Roman" w:cs="Times New Roman"/>
          <w:sz w:val="24"/>
          <w:szCs w:val="24"/>
        </w:rPr>
        <w:t xml:space="preserve"> A. Lichtenberg</w:t>
      </w:r>
      <w:r>
        <w:rPr>
          <w:rFonts w:ascii="Times New Roman" w:eastAsia="Times New Roman" w:hAnsi="Times New Roman" w:cs="Times New Roman"/>
          <w:sz w:val="24"/>
          <w:szCs w:val="24"/>
        </w:rPr>
        <w:t xml:space="preserve"> (Eds.) </w:t>
      </w:r>
      <w:r w:rsidRPr="007D7079">
        <w:rPr>
          <w:rFonts w:ascii="Times New Roman" w:eastAsia="Times New Roman" w:hAnsi="Times New Roman" w:cs="Times New Roman"/>
          <w:sz w:val="24"/>
          <w:szCs w:val="24"/>
        </w:rPr>
        <w:t>Handbook of Assessment in Clinical Gerontology (Second Edition)</w:t>
      </w:r>
      <w:r>
        <w:rPr>
          <w:rFonts w:ascii="Times New Roman" w:eastAsia="Times New Roman" w:hAnsi="Times New Roman" w:cs="Times New Roman"/>
          <w:sz w:val="24"/>
          <w:szCs w:val="24"/>
        </w:rPr>
        <w:t xml:space="preserve"> pp. 3-43</w:t>
      </w:r>
      <w:r w:rsidRPr="007D7079">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7D7079">
        <w:rPr>
          <w:rFonts w:ascii="Times New Roman" w:eastAsia="Times New Roman" w:hAnsi="Times New Roman" w:cs="Times New Roman"/>
          <w:sz w:val="24"/>
          <w:szCs w:val="24"/>
        </w:rPr>
        <w:t>Academic Press</w:t>
      </w:r>
      <w:r>
        <w:rPr>
          <w:rFonts w:ascii="Times New Roman" w:eastAsia="Times New Roman" w:hAnsi="Times New Roman" w:cs="Times New Roman"/>
          <w:sz w:val="24"/>
          <w:szCs w:val="24"/>
        </w:rPr>
        <w:t>.</w:t>
      </w:r>
    </w:p>
    <w:p w14:paraId="4F4AB0C0" w14:textId="7E19F365" w:rsidR="005309A0" w:rsidRDefault="005309A0" w:rsidP="005309A0">
      <w:pPr>
        <w:spacing w:before="100" w:beforeAutospacing="1" w:after="100" w:afterAutospacing="1" w:line="240" w:lineRule="auto"/>
        <w:rPr>
          <w:rFonts w:ascii="Times New Roman" w:eastAsia="Times New Roman" w:hAnsi="Times New Roman" w:cs="Times New Roman"/>
          <w:sz w:val="24"/>
          <w:szCs w:val="24"/>
        </w:rPr>
      </w:pPr>
      <w:r w:rsidRPr="007E303F">
        <w:rPr>
          <w:rFonts w:ascii="Times New Roman" w:eastAsia="Times New Roman" w:hAnsi="Times New Roman" w:cs="Times New Roman"/>
          <w:sz w:val="24"/>
          <w:szCs w:val="24"/>
        </w:rPr>
        <w:t>Goffman E. (1963). Stigma: Notes on the management of spoiled identity. Englewood Cliffs, NJ: Prentice Hall.</w:t>
      </w:r>
    </w:p>
    <w:p w14:paraId="66E75D9F" w14:textId="77777777" w:rsidR="00137028" w:rsidRDefault="00137028" w:rsidP="00137028">
      <w:pPr>
        <w:spacing w:before="100" w:beforeAutospacing="1" w:after="100" w:afterAutospacing="1" w:line="240" w:lineRule="auto"/>
        <w:rPr>
          <w:rFonts w:ascii="Times New Roman" w:eastAsia="Times New Roman" w:hAnsi="Times New Roman" w:cs="Times New Roman"/>
          <w:sz w:val="24"/>
          <w:szCs w:val="24"/>
        </w:rPr>
      </w:pPr>
      <w:r w:rsidRPr="00052564">
        <w:rPr>
          <w:rFonts w:ascii="Times New Roman" w:eastAsia="Times New Roman" w:hAnsi="Times New Roman" w:cs="Times New Roman"/>
          <w:sz w:val="24"/>
          <w:szCs w:val="24"/>
        </w:rPr>
        <w:t>Ip, E.H., Chen, S., Bandeen-Roche, K., Speiser, J., Cai, L., Houston, D. (2020). Longitudinal Partially Ordered Data Analysis for Preclinical Sarcopenia. Statistics in Medicine. 39, 3313-3328. PMCID: PMC8386024</w:t>
      </w:r>
    </w:p>
    <w:p w14:paraId="54FF9BC4" w14:textId="77777777" w:rsidR="00137028" w:rsidRDefault="00137028" w:rsidP="00137028">
      <w:pPr>
        <w:spacing w:before="100" w:beforeAutospacing="1" w:after="100" w:afterAutospacing="1" w:line="240" w:lineRule="auto"/>
        <w:rPr>
          <w:rFonts w:ascii="Times New Roman" w:eastAsia="Times New Roman" w:hAnsi="Times New Roman" w:cs="Times New Roman"/>
          <w:sz w:val="24"/>
          <w:szCs w:val="24"/>
        </w:rPr>
      </w:pPr>
      <w:r w:rsidRPr="002B0E26">
        <w:rPr>
          <w:rFonts w:ascii="Times New Roman" w:eastAsia="Times New Roman" w:hAnsi="Times New Roman" w:cs="Times New Roman"/>
          <w:sz w:val="24"/>
          <w:szCs w:val="24"/>
        </w:rPr>
        <w:t>Ip, E.H., Chen, S., Quandt, S. (2016). Analysis of multiple partially ordered responses to belief items with Don’t Know option. Psychometrika. 81, 483-505. PMC4458241</w:t>
      </w:r>
    </w:p>
    <w:p w14:paraId="3BA32A9B" w14:textId="32EFB10D" w:rsidR="00137028" w:rsidRDefault="00137028" w:rsidP="005309A0">
      <w:pPr>
        <w:spacing w:before="100" w:beforeAutospacing="1" w:after="100" w:afterAutospacing="1" w:line="240" w:lineRule="auto"/>
        <w:rPr>
          <w:rFonts w:ascii="Times New Roman" w:eastAsia="Times New Roman" w:hAnsi="Times New Roman" w:cs="Times New Roman"/>
          <w:sz w:val="24"/>
          <w:szCs w:val="24"/>
        </w:rPr>
      </w:pPr>
      <w:r w:rsidRPr="0070064F">
        <w:rPr>
          <w:rFonts w:ascii="Times New Roman" w:eastAsia="Times New Roman" w:hAnsi="Times New Roman" w:cs="Times New Roman"/>
          <w:sz w:val="24"/>
          <w:szCs w:val="24"/>
        </w:rPr>
        <w:t xml:space="preserve">Ip, E.H., Zhang, Q., Rejeski, J., Harris, T., </w:t>
      </w:r>
      <w:proofErr w:type="spellStart"/>
      <w:r w:rsidRPr="0070064F">
        <w:rPr>
          <w:rFonts w:ascii="Times New Roman" w:eastAsia="Times New Roman" w:hAnsi="Times New Roman" w:cs="Times New Roman"/>
          <w:sz w:val="24"/>
          <w:szCs w:val="24"/>
        </w:rPr>
        <w:t>Kritchevsky</w:t>
      </w:r>
      <w:proofErr w:type="spellEnd"/>
      <w:r w:rsidRPr="0070064F">
        <w:rPr>
          <w:rFonts w:ascii="Times New Roman" w:eastAsia="Times New Roman" w:hAnsi="Times New Roman" w:cs="Times New Roman"/>
          <w:sz w:val="24"/>
          <w:szCs w:val="24"/>
        </w:rPr>
        <w:t>, S. (2013). Partially ordered mixed hidden Markov model for the disablement process of older adults. Journal of the American Statistical Association, 108, 370-384.</w:t>
      </w:r>
    </w:p>
    <w:p w14:paraId="7F6B8612" w14:textId="79CF6A37" w:rsidR="005309A0" w:rsidRDefault="005309A0" w:rsidP="005309A0">
      <w:pPr>
        <w:spacing w:before="100" w:beforeAutospacing="1" w:after="100" w:afterAutospacing="1" w:line="240" w:lineRule="auto"/>
        <w:rPr>
          <w:rFonts w:ascii="Times New Roman" w:eastAsia="Times New Roman" w:hAnsi="Times New Roman" w:cs="Times New Roman"/>
          <w:sz w:val="24"/>
          <w:szCs w:val="24"/>
        </w:rPr>
      </w:pPr>
      <w:r w:rsidRPr="00E96508">
        <w:rPr>
          <w:rFonts w:ascii="Times New Roman" w:eastAsia="Times New Roman" w:hAnsi="Times New Roman" w:cs="Times New Roman"/>
          <w:sz w:val="24"/>
          <w:szCs w:val="24"/>
        </w:rPr>
        <w:t xml:space="preserve">Lai, JS., Nowinski, C., Rangel, S.M. et al. Development of the PROMIS pediatric stigma and extension to the PROMIS pediatric stigma: skin item banks. Qual Life Res 33, 865–873 (2024). </w:t>
      </w:r>
      <w:hyperlink r:id="rId13" w:history="1">
        <w:r w:rsidR="009810ED" w:rsidRPr="009526C2">
          <w:rPr>
            <w:rStyle w:val="Hyperlink"/>
            <w:rFonts w:ascii="Times New Roman" w:eastAsia="Times New Roman" w:hAnsi="Times New Roman" w:cs="Times New Roman"/>
            <w:sz w:val="24"/>
            <w:szCs w:val="24"/>
          </w:rPr>
          <w:t>https://doi.org/10.1007/s11136-023-03574-z</w:t>
        </w:r>
      </w:hyperlink>
    </w:p>
    <w:p w14:paraId="0394C1E7" w14:textId="77777777" w:rsidR="009810ED" w:rsidRDefault="009810ED" w:rsidP="009810ED">
      <w:pPr>
        <w:spacing w:before="100" w:beforeAutospacing="1" w:after="100" w:afterAutospacing="1" w:line="240" w:lineRule="auto"/>
        <w:rPr>
          <w:rFonts w:ascii="Times New Roman" w:eastAsia="Times New Roman" w:hAnsi="Times New Roman" w:cs="Times New Roman"/>
          <w:sz w:val="24"/>
          <w:szCs w:val="24"/>
        </w:rPr>
      </w:pPr>
      <w:r w:rsidRPr="008A12A7">
        <w:rPr>
          <w:rFonts w:ascii="Times New Roman" w:eastAsia="Times New Roman" w:hAnsi="Times New Roman" w:cs="Times New Roman"/>
          <w:sz w:val="24"/>
          <w:szCs w:val="24"/>
        </w:rPr>
        <w:t>Magnus, B. E., &amp; Garnier-Villarreal, M. (2022). A multidimensional zero-inflated graded response model for ordinal symptom data. Psychological Methods, 27(2), 261–279.</w:t>
      </w:r>
    </w:p>
    <w:p w14:paraId="2CA38944" w14:textId="20B2C6BE" w:rsidR="009810ED" w:rsidRDefault="009810ED" w:rsidP="005309A0">
      <w:pPr>
        <w:spacing w:before="100" w:beforeAutospacing="1" w:after="100" w:afterAutospacing="1" w:line="240" w:lineRule="auto"/>
        <w:rPr>
          <w:rFonts w:ascii="Times New Roman" w:eastAsia="Times New Roman" w:hAnsi="Times New Roman" w:cs="Times New Roman"/>
          <w:sz w:val="24"/>
          <w:szCs w:val="24"/>
        </w:rPr>
      </w:pPr>
      <w:r w:rsidRPr="00CE2262">
        <w:rPr>
          <w:rFonts w:ascii="Times New Roman" w:eastAsia="Times New Roman" w:hAnsi="Times New Roman" w:cs="Times New Roman"/>
          <w:sz w:val="24"/>
          <w:szCs w:val="24"/>
        </w:rPr>
        <w:t xml:space="preserve">Nolte, S., Coon, C., Hudgens, S. et al. Psychometric evaluation of the PROMIS® Depression Item Bank: an illustration of classical test theory methods. J Patient Rep Outcomes 3, 46 (2019). </w:t>
      </w:r>
      <w:hyperlink r:id="rId14" w:history="1">
        <w:r w:rsidRPr="009526C2">
          <w:rPr>
            <w:rStyle w:val="Hyperlink"/>
            <w:rFonts w:ascii="Times New Roman" w:eastAsia="Times New Roman" w:hAnsi="Times New Roman" w:cs="Times New Roman"/>
            <w:sz w:val="24"/>
            <w:szCs w:val="24"/>
          </w:rPr>
          <w:t>https://doi.org/10.1186/s41687-019-0127-0</w:t>
        </w:r>
      </w:hyperlink>
    </w:p>
    <w:p w14:paraId="445459B7" w14:textId="546E75A1" w:rsidR="009810ED" w:rsidRDefault="009810ED" w:rsidP="005309A0">
      <w:pPr>
        <w:spacing w:before="100" w:beforeAutospacing="1" w:after="100" w:afterAutospacing="1" w:line="240" w:lineRule="auto"/>
        <w:rPr>
          <w:rFonts w:ascii="Times New Roman" w:eastAsia="Times New Roman" w:hAnsi="Times New Roman" w:cs="Times New Roman"/>
          <w:sz w:val="24"/>
          <w:szCs w:val="24"/>
        </w:rPr>
      </w:pPr>
      <w:r w:rsidRPr="005C4D62">
        <w:rPr>
          <w:rFonts w:ascii="Times New Roman" w:eastAsia="Times New Roman" w:hAnsi="Times New Roman" w:cs="Times New Roman"/>
          <w:sz w:val="24"/>
          <w:szCs w:val="24"/>
        </w:rPr>
        <w:t>Norris, J. T., Gallagher, D. E., Wilson, A., &amp; Winograd, C. H. (1987). Assessment of depression in geriatric medical outpatients: The validity of two screening measures. Journal of the American Geriatrics Society, 35(11), 989–995. https://doi.org/10.1111/j.1532-5415.1987.tb04001.x</w:t>
      </w:r>
    </w:p>
    <w:p w14:paraId="5419F2EA" w14:textId="08C79926" w:rsidR="009810ED" w:rsidRDefault="009810ED" w:rsidP="005309A0">
      <w:pPr>
        <w:spacing w:before="100" w:beforeAutospacing="1" w:after="100" w:afterAutospacing="1" w:line="240" w:lineRule="auto"/>
        <w:rPr>
          <w:rFonts w:ascii="Times New Roman" w:eastAsia="Times New Roman" w:hAnsi="Times New Roman" w:cs="Times New Roman"/>
          <w:sz w:val="24"/>
          <w:szCs w:val="24"/>
        </w:rPr>
      </w:pPr>
      <w:proofErr w:type="spellStart"/>
      <w:r w:rsidRPr="00397F4E">
        <w:rPr>
          <w:rFonts w:ascii="Times New Roman" w:eastAsia="Times New Roman" w:hAnsi="Times New Roman" w:cs="Times New Roman"/>
          <w:sz w:val="24"/>
          <w:szCs w:val="24"/>
        </w:rPr>
        <w:t>Pilkonis</w:t>
      </w:r>
      <w:proofErr w:type="spellEnd"/>
      <w:r>
        <w:rPr>
          <w:rFonts w:ascii="Times New Roman" w:eastAsia="Times New Roman" w:hAnsi="Times New Roman" w:cs="Times New Roman"/>
          <w:sz w:val="24"/>
          <w:szCs w:val="24"/>
        </w:rPr>
        <w:t>,</w:t>
      </w:r>
      <w:r w:rsidRPr="00397F4E">
        <w:rPr>
          <w:rFonts w:ascii="Times New Roman" w:eastAsia="Times New Roman" w:hAnsi="Times New Roman" w:cs="Times New Roman"/>
          <w:sz w:val="24"/>
          <w:szCs w:val="24"/>
        </w:rPr>
        <w:t xml:space="preserve"> P</w:t>
      </w:r>
      <w:r>
        <w:rPr>
          <w:rFonts w:ascii="Times New Roman" w:eastAsia="Times New Roman" w:hAnsi="Times New Roman" w:cs="Times New Roman"/>
          <w:sz w:val="24"/>
          <w:szCs w:val="24"/>
        </w:rPr>
        <w:t>.</w:t>
      </w:r>
      <w:r w:rsidRPr="00397F4E">
        <w:rPr>
          <w:rFonts w:ascii="Times New Roman" w:eastAsia="Times New Roman" w:hAnsi="Times New Roman" w:cs="Times New Roman"/>
          <w:sz w:val="24"/>
          <w:szCs w:val="24"/>
        </w:rPr>
        <w:t>A</w:t>
      </w:r>
      <w:r>
        <w:rPr>
          <w:rFonts w:ascii="Times New Roman" w:eastAsia="Times New Roman" w:hAnsi="Times New Roman" w:cs="Times New Roman"/>
          <w:sz w:val="24"/>
          <w:szCs w:val="24"/>
        </w:rPr>
        <w:t>.</w:t>
      </w:r>
      <w:r w:rsidRPr="00397F4E">
        <w:rPr>
          <w:rFonts w:ascii="Times New Roman" w:eastAsia="Times New Roman" w:hAnsi="Times New Roman" w:cs="Times New Roman"/>
          <w:sz w:val="24"/>
          <w:szCs w:val="24"/>
        </w:rPr>
        <w:t>, Yu</w:t>
      </w:r>
      <w:r>
        <w:rPr>
          <w:rFonts w:ascii="Times New Roman" w:eastAsia="Times New Roman" w:hAnsi="Times New Roman" w:cs="Times New Roman"/>
          <w:sz w:val="24"/>
          <w:szCs w:val="24"/>
        </w:rPr>
        <w:t>,</w:t>
      </w:r>
      <w:r w:rsidRPr="00397F4E">
        <w:rPr>
          <w:rFonts w:ascii="Times New Roman" w:eastAsia="Times New Roman" w:hAnsi="Times New Roman" w:cs="Times New Roman"/>
          <w:sz w:val="24"/>
          <w:szCs w:val="24"/>
        </w:rPr>
        <w:t xml:space="preserve"> L</w:t>
      </w:r>
      <w:r>
        <w:rPr>
          <w:rFonts w:ascii="Times New Roman" w:eastAsia="Times New Roman" w:hAnsi="Times New Roman" w:cs="Times New Roman"/>
          <w:sz w:val="24"/>
          <w:szCs w:val="24"/>
        </w:rPr>
        <w:t>.</w:t>
      </w:r>
      <w:r w:rsidRPr="00397F4E">
        <w:rPr>
          <w:rFonts w:ascii="Times New Roman" w:eastAsia="Times New Roman" w:hAnsi="Times New Roman" w:cs="Times New Roman"/>
          <w:sz w:val="24"/>
          <w:szCs w:val="24"/>
        </w:rPr>
        <w:t>, Dodds</w:t>
      </w:r>
      <w:r>
        <w:rPr>
          <w:rFonts w:ascii="Times New Roman" w:eastAsia="Times New Roman" w:hAnsi="Times New Roman" w:cs="Times New Roman"/>
          <w:sz w:val="24"/>
          <w:szCs w:val="24"/>
        </w:rPr>
        <w:t>,</w:t>
      </w:r>
      <w:r w:rsidRPr="00397F4E">
        <w:rPr>
          <w:rFonts w:ascii="Times New Roman" w:eastAsia="Times New Roman" w:hAnsi="Times New Roman" w:cs="Times New Roman"/>
          <w:sz w:val="24"/>
          <w:szCs w:val="24"/>
        </w:rPr>
        <w:t xml:space="preserve"> N</w:t>
      </w:r>
      <w:r>
        <w:rPr>
          <w:rFonts w:ascii="Times New Roman" w:eastAsia="Times New Roman" w:hAnsi="Times New Roman" w:cs="Times New Roman"/>
          <w:sz w:val="24"/>
          <w:szCs w:val="24"/>
        </w:rPr>
        <w:t>.</w:t>
      </w:r>
      <w:r w:rsidRPr="00397F4E">
        <w:rPr>
          <w:rFonts w:ascii="Times New Roman" w:eastAsia="Times New Roman" w:hAnsi="Times New Roman" w:cs="Times New Roman"/>
          <w:sz w:val="24"/>
          <w:szCs w:val="24"/>
        </w:rPr>
        <w:t>E</w:t>
      </w:r>
      <w:r>
        <w:rPr>
          <w:rFonts w:ascii="Times New Roman" w:eastAsia="Times New Roman" w:hAnsi="Times New Roman" w:cs="Times New Roman"/>
          <w:sz w:val="24"/>
          <w:szCs w:val="24"/>
        </w:rPr>
        <w:t>.</w:t>
      </w:r>
      <w:r w:rsidRPr="00397F4E">
        <w:rPr>
          <w:rFonts w:ascii="Times New Roman" w:eastAsia="Times New Roman" w:hAnsi="Times New Roman" w:cs="Times New Roman"/>
          <w:sz w:val="24"/>
          <w:szCs w:val="24"/>
        </w:rPr>
        <w:t>, Johnston</w:t>
      </w:r>
      <w:r>
        <w:rPr>
          <w:rFonts w:ascii="Times New Roman" w:eastAsia="Times New Roman" w:hAnsi="Times New Roman" w:cs="Times New Roman"/>
          <w:sz w:val="24"/>
          <w:szCs w:val="24"/>
        </w:rPr>
        <w:t>,</w:t>
      </w:r>
      <w:r w:rsidRPr="00397F4E">
        <w:rPr>
          <w:rFonts w:ascii="Times New Roman" w:eastAsia="Times New Roman" w:hAnsi="Times New Roman" w:cs="Times New Roman"/>
          <w:sz w:val="24"/>
          <w:szCs w:val="24"/>
        </w:rPr>
        <w:t xml:space="preserve"> K</w:t>
      </w:r>
      <w:r>
        <w:rPr>
          <w:rFonts w:ascii="Times New Roman" w:eastAsia="Times New Roman" w:hAnsi="Times New Roman" w:cs="Times New Roman"/>
          <w:sz w:val="24"/>
          <w:szCs w:val="24"/>
        </w:rPr>
        <w:t>.</w:t>
      </w:r>
      <w:r w:rsidRPr="00397F4E">
        <w:rPr>
          <w:rFonts w:ascii="Times New Roman" w:eastAsia="Times New Roman" w:hAnsi="Times New Roman" w:cs="Times New Roman"/>
          <w:sz w:val="24"/>
          <w:szCs w:val="24"/>
        </w:rPr>
        <w:t>L</w:t>
      </w:r>
      <w:r>
        <w:rPr>
          <w:rFonts w:ascii="Times New Roman" w:eastAsia="Times New Roman" w:hAnsi="Times New Roman" w:cs="Times New Roman"/>
          <w:sz w:val="24"/>
          <w:szCs w:val="24"/>
        </w:rPr>
        <w:t>.</w:t>
      </w:r>
      <w:r w:rsidRPr="00397F4E">
        <w:rPr>
          <w:rFonts w:ascii="Times New Roman" w:eastAsia="Times New Roman" w:hAnsi="Times New Roman" w:cs="Times New Roman"/>
          <w:sz w:val="24"/>
          <w:szCs w:val="24"/>
        </w:rPr>
        <w:t xml:space="preserve">, </w:t>
      </w:r>
      <w:proofErr w:type="spellStart"/>
      <w:r w:rsidRPr="00397F4E">
        <w:rPr>
          <w:rFonts w:ascii="Times New Roman" w:eastAsia="Times New Roman" w:hAnsi="Times New Roman" w:cs="Times New Roman"/>
          <w:sz w:val="24"/>
          <w:szCs w:val="24"/>
        </w:rPr>
        <w:t>Maihoefer</w:t>
      </w:r>
      <w:proofErr w:type="spellEnd"/>
      <w:r>
        <w:rPr>
          <w:rFonts w:ascii="Times New Roman" w:eastAsia="Times New Roman" w:hAnsi="Times New Roman" w:cs="Times New Roman"/>
          <w:sz w:val="24"/>
          <w:szCs w:val="24"/>
        </w:rPr>
        <w:t>,</w:t>
      </w:r>
      <w:r w:rsidRPr="00397F4E">
        <w:rPr>
          <w:rFonts w:ascii="Times New Roman" w:eastAsia="Times New Roman" w:hAnsi="Times New Roman" w:cs="Times New Roman"/>
          <w:sz w:val="24"/>
          <w:szCs w:val="24"/>
        </w:rPr>
        <w:t xml:space="preserve"> C</w:t>
      </w:r>
      <w:r>
        <w:rPr>
          <w:rFonts w:ascii="Times New Roman" w:eastAsia="Times New Roman" w:hAnsi="Times New Roman" w:cs="Times New Roman"/>
          <w:sz w:val="24"/>
          <w:szCs w:val="24"/>
        </w:rPr>
        <w:t>.</w:t>
      </w:r>
      <w:r w:rsidRPr="00397F4E">
        <w:rPr>
          <w:rFonts w:ascii="Times New Roman" w:eastAsia="Times New Roman" w:hAnsi="Times New Roman" w:cs="Times New Roman"/>
          <w:sz w:val="24"/>
          <w:szCs w:val="24"/>
        </w:rPr>
        <w:t>C</w:t>
      </w:r>
      <w:r>
        <w:rPr>
          <w:rFonts w:ascii="Times New Roman" w:eastAsia="Times New Roman" w:hAnsi="Times New Roman" w:cs="Times New Roman"/>
          <w:sz w:val="24"/>
          <w:szCs w:val="24"/>
        </w:rPr>
        <w:t>.</w:t>
      </w:r>
      <w:r w:rsidRPr="00397F4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&amp;</w:t>
      </w:r>
      <w:r w:rsidRPr="00397F4E">
        <w:rPr>
          <w:rFonts w:ascii="Times New Roman" w:eastAsia="Times New Roman" w:hAnsi="Times New Roman" w:cs="Times New Roman"/>
          <w:sz w:val="24"/>
          <w:szCs w:val="24"/>
        </w:rPr>
        <w:t xml:space="preserve"> Lawrence</w:t>
      </w:r>
      <w:r>
        <w:rPr>
          <w:rFonts w:ascii="Times New Roman" w:eastAsia="Times New Roman" w:hAnsi="Times New Roman" w:cs="Times New Roman"/>
          <w:sz w:val="24"/>
          <w:szCs w:val="24"/>
        </w:rPr>
        <w:t>,</w:t>
      </w:r>
      <w:r w:rsidRPr="00397F4E">
        <w:rPr>
          <w:rFonts w:ascii="Times New Roman" w:eastAsia="Times New Roman" w:hAnsi="Times New Roman" w:cs="Times New Roman"/>
          <w:sz w:val="24"/>
          <w:szCs w:val="24"/>
        </w:rPr>
        <w:t xml:space="preserve"> S</w:t>
      </w:r>
      <w:r>
        <w:rPr>
          <w:rFonts w:ascii="Times New Roman" w:eastAsia="Times New Roman" w:hAnsi="Times New Roman" w:cs="Times New Roman"/>
          <w:sz w:val="24"/>
          <w:szCs w:val="24"/>
        </w:rPr>
        <w:t>.</w:t>
      </w:r>
      <w:r w:rsidRPr="00397F4E">
        <w:rPr>
          <w:rFonts w:ascii="Times New Roman" w:eastAsia="Times New Roman" w:hAnsi="Times New Roman" w:cs="Times New Roman"/>
          <w:sz w:val="24"/>
          <w:szCs w:val="24"/>
        </w:rPr>
        <w:t>M</w:t>
      </w:r>
      <w:r>
        <w:rPr>
          <w:rFonts w:ascii="Times New Roman" w:eastAsia="Times New Roman" w:hAnsi="Times New Roman" w:cs="Times New Roman"/>
          <w:sz w:val="24"/>
          <w:szCs w:val="24"/>
        </w:rPr>
        <w:t>.</w:t>
      </w:r>
      <w:r w:rsidRPr="00397F4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(2014). </w:t>
      </w:r>
      <w:r w:rsidRPr="00397F4E">
        <w:rPr>
          <w:rFonts w:ascii="Times New Roman" w:eastAsia="Times New Roman" w:hAnsi="Times New Roman" w:cs="Times New Roman"/>
          <w:sz w:val="24"/>
          <w:szCs w:val="24"/>
        </w:rPr>
        <w:t>Validation of the depression item bank from the Patient-Reported Outcomes Measurement Information System (PROMIS) in a three-month observational study., J</w:t>
      </w:r>
      <w:r>
        <w:rPr>
          <w:rFonts w:ascii="Times New Roman" w:eastAsia="Times New Roman" w:hAnsi="Times New Roman" w:cs="Times New Roman"/>
          <w:sz w:val="24"/>
          <w:szCs w:val="24"/>
        </w:rPr>
        <w:t>ournal of</w:t>
      </w:r>
      <w:r w:rsidRPr="00397F4E">
        <w:rPr>
          <w:rFonts w:ascii="Times New Roman" w:eastAsia="Times New Roman" w:hAnsi="Times New Roman" w:cs="Times New Roman"/>
          <w:sz w:val="24"/>
          <w:szCs w:val="24"/>
        </w:rPr>
        <w:t xml:space="preserve"> Psychiatr</w:t>
      </w:r>
      <w:r>
        <w:rPr>
          <w:rFonts w:ascii="Times New Roman" w:eastAsia="Times New Roman" w:hAnsi="Times New Roman" w:cs="Times New Roman"/>
          <w:sz w:val="24"/>
          <w:szCs w:val="24"/>
        </w:rPr>
        <w:t>y</w:t>
      </w:r>
      <w:r w:rsidRPr="00397F4E">
        <w:rPr>
          <w:rFonts w:ascii="Times New Roman" w:eastAsia="Times New Roman" w:hAnsi="Times New Roman" w:cs="Times New Roman"/>
          <w:sz w:val="24"/>
          <w:szCs w:val="24"/>
        </w:rPr>
        <w:t xml:space="preserve"> Res</w:t>
      </w:r>
      <w:r>
        <w:rPr>
          <w:rFonts w:ascii="Times New Roman" w:eastAsia="Times New Roman" w:hAnsi="Times New Roman" w:cs="Times New Roman"/>
          <w:sz w:val="24"/>
          <w:szCs w:val="24"/>
        </w:rPr>
        <w:t>earch,</w:t>
      </w:r>
      <w:r w:rsidRPr="00397F4E">
        <w:rPr>
          <w:rFonts w:ascii="Times New Roman" w:eastAsia="Times New Roman" w:hAnsi="Times New Roman" w:cs="Times New Roman"/>
          <w:sz w:val="24"/>
          <w:szCs w:val="24"/>
        </w:rPr>
        <w:t xml:space="preserve"> 56, 112–119 (2014).</w:t>
      </w:r>
    </w:p>
    <w:p w14:paraId="056F36A2" w14:textId="77777777" w:rsidR="00492CCB" w:rsidRDefault="00137028" w:rsidP="005309A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PROMIS reference populations</w:t>
      </w:r>
      <w:r w:rsidR="00401C1F">
        <w:rPr>
          <w:rFonts w:ascii="Times New Roman" w:eastAsia="Times New Roman" w:hAnsi="Times New Roman" w:cs="Times New Roman"/>
          <w:sz w:val="24"/>
          <w:szCs w:val="24"/>
        </w:rPr>
        <w:t>. (</w:t>
      </w:r>
      <w:r w:rsidR="00492CCB">
        <w:rPr>
          <w:rFonts w:ascii="Times New Roman" w:eastAsia="Times New Roman" w:hAnsi="Times New Roman" w:cs="Times New Roman"/>
          <w:sz w:val="24"/>
          <w:szCs w:val="24"/>
        </w:rPr>
        <w:t>April 29, 2024)</w:t>
      </w:r>
    </w:p>
    <w:p w14:paraId="1CC2F2C5" w14:textId="087A5979" w:rsidR="00137028" w:rsidRDefault="00492CCB" w:rsidP="005309A0">
      <w:pPr>
        <w:spacing w:before="100" w:beforeAutospacing="1" w:after="100" w:afterAutospacing="1" w:line="240" w:lineRule="auto"/>
        <w:rPr>
          <w:rFonts w:ascii="Times New Roman" w:eastAsia="Times New Roman" w:hAnsi="Times New Roman" w:cs="Times New Roman"/>
          <w:sz w:val="24"/>
          <w:szCs w:val="24"/>
        </w:rPr>
      </w:pPr>
      <w:hyperlink r:id="rId15" w:history="1">
        <w:r w:rsidRPr="009526C2">
          <w:rPr>
            <w:rStyle w:val="Hyperlink"/>
            <w:rFonts w:ascii="Times New Roman" w:eastAsia="Times New Roman" w:hAnsi="Times New Roman" w:cs="Times New Roman"/>
            <w:sz w:val="24"/>
            <w:szCs w:val="24"/>
          </w:rPr>
          <w:t>https://www.healthmeasures.net/score-and-interpret/interpret-scores/promis/reference-populations</w:t>
        </w:r>
      </w:hyperlink>
    </w:p>
    <w:p w14:paraId="073F7A17" w14:textId="4A6B88BC" w:rsidR="009810ED" w:rsidRDefault="009810ED" w:rsidP="009810ED">
      <w:pPr>
        <w:spacing w:before="100" w:beforeAutospacing="1" w:after="100" w:afterAutospacing="1" w:line="240" w:lineRule="auto"/>
        <w:rPr>
          <w:rFonts w:ascii="Times New Roman" w:eastAsia="Times New Roman" w:hAnsi="Times New Roman" w:cs="Times New Roman"/>
          <w:sz w:val="24"/>
          <w:szCs w:val="24"/>
        </w:rPr>
      </w:pPr>
      <w:bookmarkStart w:id="4" w:name="_Hlk194314128"/>
      <w:r w:rsidRPr="008762AA">
        <w:rPr>
          <w:rFonts w:ascii="Times New Roman" w:eastAsia="Times New Roman" w:hAnsi="Times New Roman" w:cs="Times New Roman"/>
          <w:sz w:val="24"/>
          <w:szCs w:val="24"/>
        </w:rPr>
        <w:t xml:space="preserve">Reeve BB, Hays RD, </w:t>
      </w:r>
      <w:proofErr w:type="spellStart"/>
      <w:r w:rsidRPr="008762AA">
        <w:rPr>
          <w:rFonts w:ascii="Times New Roman" w:eastAsia="Times New Roman" w:hAnsi="Times New Roman" w:cs="Times New Roman"/>
          <w:sz w:val="24"/>
          <w:szCs w:val="24"/>
        </w:rPr>
        <w:t>Bjorner</w:t>
      </w:r>
      <w:proofErr w:type="spellEnd"/>
      <w:r w:rsidRPr="008762AA">
        <w:rPr>
          <w:rFonts w:ascii="Times New Roman" w:eastAsia="Times New Roman" w:hAnsi="Times New Roman" w:cs="Times New Roman"/>
          <w:sz w:val="24"/>
          <w:szCs w:val="24"/>
        </w:rPr>
        <w:t xml:space="preserve"> JB, Cook KF, Crane PK, Teresi JA, Thissen D, </w:t>
      </w:r>
      <w:proofErr w:type="spellStart"/>
      <w:r w:rsidRPr="008762AA">
        <w:rPr>
          <w:rFonts w:ascii="Times New Roman" w:eastAsia="Times New Roman" w:hAnsi="Times New Roman" w:cs="Times New Roman"/>
          <w:sz w:val="24"/>
          <w:szCs w:val="24"/>
        </w:rPr>
        <w:t>Revicki</w:t>
      </w:r>
      <w:proofErr w:type="spellEnd"/>
      <w:r w:rsidRPr="008762AA">
        <w:rPr>
          <w:rFonts w:ascii="Times New Roman" w:eastAsia="Times New Roman" w:hAnsi="Times New Roman" w:cs="Times New Roman"/>
          <w:sz w:val="24"/>
          <w:szCs w:val="24"/>
        </w:rPr>
        <w:t xml:space="preserve"> DA, Weiss DJ, Hambleton RK, Liu H, Gershon R, Reise SP, Cella D, group </w:t>
      </w:r>
      <w:proofErr w:type="spellStart"/>
      <w:r w:rsidRPr="008762AA">
        <w:rPr>
          <w:rFonts w:ascii="Times New Roman" w:eastAsia="Times New Roman" w:hAnsi="Times New Roman" w:cs="Times New Roman"/>
          <w:sz w:val="24"/>
          <w:szCs w:val="24"/>
        </w:rPr>
        <w:t>obotPc</w:t>
      </w:r>
      <w:proofErr w:type="spellEnd"/>
      <w:r w:rsidRPr="008762AA">
        <w:rPr>
          <w:rFonts w:ascii="Times New Roman" w:eastAsia="Times New Roman" w:hAnsi="Times New Roman" w:cs="Times New Roman"/>
          <w:sz w:val="24"/>
          <w:szCs w:val="24"/>
        </w:rPr>
        <w:t>. Psychometric evaluation and calibration of Health-Related Quality of Life item banks: Plans for the Patient-Reported Outcome Measurement Information System (PROMIS®) Medical Care. 2007;</w:t>
      </w:r>
      <w:proofErr w:type="gramStart"/>
      <w:r w:rsidRPr="008762AA">
        <w:rPr>
          <w:rFonts w:ascii="Times New Roman" w:eastAsia="Times New Roman" w:hAnsi="Times New Roman" w:cs="Times New Roman"/>
          <w:sz w:val="24"/>
          <w:szCs w:val="24"/>
        </w:rPr>
        <w:t>45:S</w:t>
      </w:r>
      <w:proofErr w:type="gramEnd"/>
      <w:r w:rsidRPr="008762AA">
        <w:rPr>
          <w:rFonts w:ascii="Times New Roman" w:eastAsia="Times New Roman" w:hAnsi="Times New Roman" w:cs="Times New Roman"/>
          <w:sz w:val="24"/>
          <w:szCs w:val="24"/>
        </w:rPr>
        <w:t>22–S31.</w:t>
      </w:r>
    </w:p>
    <w:p w14:paraId="593243AF" w14:textId="77777777" w:rsidR="00137028" w:rsidRDefault="00137028" w:rsidP="00137028">
      <w:pPr>
        <w:spacing w:before="100" w:beforeAutospacing="1" w:after="100" w:afterAutospacing="1" w:line="240" w:lineRule="auto"/>
        <w:rPr>
          <w:rFonts w:ascii="Times New Roman" w:eastAsia="Times New Roman" w:hAnsi="Times New Roman" w:cs="Times New Roman"/>
          <w:sz w:val="24"/>
          <w:szCs w:val="24"/>
        </w:rPr>
      </w:pPr>
      <w:r w:rsidRPr="00B45CDD">
        <w:rPr>
          <w:rFonts w:ascii="Times New Roman" w:eastAsia="Times New Roman" w:hAnsi="Times New Roman" w:cs="Times New Roman"/>
          <w:sz w:val="24"/>
          <w:szCs w:val="24"/>
        </w:rPr>
        <w:t>Reise, S. P., Du, H., Wong, E. F., Hubbard, A. S., &amp; Haviland, M. G. (2021). Matching IRT models to patient-reported outcomes constructs: The graded response and log-logistic models for scaling depression. Psychometrika, 86(3), 800–824</w:t>
      </w:r>
      <w:r>
        <w:rPr>
          <w:rFonts w:ascii="Times New Roman" w:eastAsia="Times New Roman" w:hAnsi="Times New Roman" w:cs="Times New Roman"/>
          <w:sz w:val="24"/>
          <w:szCs w:val="24"/>
        </w:rPr>
        <w:t>.</w:t>
      </w:r>
    </w:p>
    <w:p w14:paraId="43A983CE" w14:textId="59FBDD45" w:rsidR="00137028" w:rsidRDefault="00137028" w:rsidP="009810ED">
      <w:pPr>
        <w:spacing w:before="100" w:beforeAutospacing="1" w:after="100" w:afterAutospacing="1" w:line="240" w:lineRule="auto"/>
        <w:rPr>
          <w:rFonts w:ascii="Times New Roman" w:eastAsia="Times New Roman" w:hAnsi="Times New Roman" w:cs="Times New Roman"/>
          <w:sz w:val="24"/>
          <w:szCs w:val="24"/>
        </w:rPr>
      </w:pPr>
      <w:r w:rsidRPr="00505481">
        <w:rPr>
          <w:rFonts w:ascii="Times New Roman" w:eastAsia="Times New Roman" w:hAnsi="Times New Roman" w:cs="Times New Roman"/>
          <w:sz w:val="24"/>
          <w:szCs w:val="24"/>
        </w:rPr>
        <w:t xml:space="preserve">Reise, S. P., Waller, N. G. </w:t>
      </w:r>
      <w:r>
        <w:rPr>
          <w:rFonts w:ascii="Times New Roman" w:eastAsia="Times New Roman" w:hAnsi="Times New Roman" w:cs="Times New Roman"/>
          <w:sz w:val="24"/>
          <w:szCs w:val="24"/>
        </w:rPr>
        <w:t xml:space="preserve">(2003). </w:t>
      </w:r>
      <w:r w:rsidRPr="00505481">
        <w:rPr>
          <w:rFonts w:ascii="Times New Roman" w:eastAsia="Times New Roman" w:hAnsi="Times New Roman" w:cs="Times New Roman"/>
          <w:sz w:val="24"/>
          <w:szCs w:val="24"/>
        </w:rPr>
        <w:t xml:space="preserve">How many IRT parameters does it take to model psychopathology </w:t>
      </w:r>
      <w:proofErr w:type="gramStart"/>
      <w:r w:rsidRPr="00505481">
        <w:rPr>
          <w:rFonts w:ascii="Times New Roman" w:eastAsia="Times New Roman" w:hAnsi="Times New Roman" w:cs="Times New Roman"/>
          <w:sz w:val="24"/>
          <w:szCs w:val="24"/>
        </w:rPr>
        <w:t>items?.</w:t>
      </w:r>
      <w:proofErr w:type="gramEnd"/>
      <w:r w:rsidRPr="00505481">
        <w:rPr>
          <w:rFonts w:ascii="Times New Roman" w:eastAsia="Times New Roman" w:hAnsi="Times New Roman" w:cs="Times New Roman"/>
          <w:sz w:val="24"/>
          <w:szCs w:val="24"/>
        </w:rPr>
        <w:t xml:space="preserve"> Psychological Methods, 8,</w:t>
      </w:r>
      <w:r w:rsidRPr="00B430A3">
        <w:rPr>
          <w:rFonts w:ascii="Times New Roman" w:eastAsia="Times New Roman" w:hAnsi="Times New Roman" w:cs="Times New Roman"/>
          <w:sz w:val="24"/>
          <w:szCs w:val="24"/>
        </w:rPr>
        <w:t xml:space="preserve"> 164-84.</w:t>
      </w:r>
    </w:p>
    <w:p w14:paraId="7A7E6F31" w14:textId="4CD7B060" w:rsidR="00037D5A" w:rsidRDefault="009810ED" w:rsidP="005309A0">
      <w:pPr>
        <w:spacing w:before="100" w:beforeAutospacing="1" w:after="100" w:afterAutospacing="1" w:line="240" w:lineRule="auto"/>
        <w:rPr>
          <w:rFonts w:ascii="Times New Roman" w:eastAsia="Times New Roman" w:hAnsi="Times New Roman" w:cs="Times New Roman"/>
          <w:sz w:val="24"/>
          <w:szCs w:val="24"/>
        </w:rPr>
      </w:pPr>
      <w:proofErr w:type="spellStart"/>
      <w:r w:rsidRPr="0001327D">
        <w:rPr>
          <w:rFonts w:ascii="Times New Roman" w:eastAsia="Times New Roman" w:hAnsi="Times New Roman" w:cs="Times New Roman"/>
          <w:sz w:val="24"/>
          <w:szCs w:val="24"/>
        </w:rPr>
        <w:t>Revicki</w:t>
      </w:r>
      <w:bookmarkEnd w:id="4"/>
      <w:proofErr w:type="spellEnd"/>
      <w:r w:rsidRPr="0001327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D.A.,</w:t>
      </w:r>
      <w:r w:rsidRPr="0001327D">
        <w:rPr>
          <w:rFonts w:ascii="Times New Roman" w:eastAsia="Times New Roman" w:hAnsi="Times New Roman" w:cs="Times New Roman"/>
          <w:sz w:val="24"/>
          <w:szCs w:val="24"/>
        </w:rPr>
        <w:t xml:space="preserve"> Chen, </w:t>
      </w:r>
      <w:r>
        <w:rPr>
          <w:rFonts w:ascii="Times New Roman" w:eastAsia="Times New Roman" w:hAnsi="Times New Roman" w:cs="Times New Roman"/>
          <w:sz w:val="24"/>
          <w:szCs w:val="24"/>
        </w:rPr>
        <w:t xml:space="preserve">W., </w:t>
      </w:r>
      <w:r w:rsidRPr="0001327D">
        <w:rPr>
          <w:rFonts w:ascii="Times New Roman" w:eastAsia="Times New Roman" w:hAnsi="Times New Roman" w:cs="Times New Roman"/>
          <w:sz w:val="24"/>
          <w:szCs w:val="24"/>
        </w:rPr>
        <w:t xml:space="preserve">Harnam, </w:t>
      </w:r>
      <w:r>
        <w:rPr>
          <w:rFonts w:ascii="Times New Roman" w:eastAsia="Times New Roman" w:hAnsi="Times New Roman" w:cs="Times New Roman"/>
          <w:sz w:val="24"/>
          <w:szCs w:val="24"/>
        </w:rPr>
        <w:t xml:space="preserve">N., </w:t>
      </w:r>
      <w:r w:rsidRPr="0001327D">
        <w:rPr>
          <w:rFonts w:ascii="Times New Roman" w:eastAsia="Times New Roman" w:hAnsi="Times New Roman" w:cs="Times New Roman"/>
          <w:sz w:val="24"/>
          <w:szCs w:val="24"/>
        </w:rPr>
        <w:t xml:space="preserve">Cook, </w:t>
      </w:r>
      <w:r>
        <w:rPr>
          <w:rFonts w:ascii="Times New Roman" w:eastAsia="Times New Roman" w:hAnsi="Times New Roman" w:cs="Times New Roman"/>
          <w:sz w:val="24"/>
          <w:szCs w:val="24"/>
        </w:rPr>
        <w:t>K.F.,</w:t>
      </w:r>
      <w:r w:rsidRPr="0001327D">
        <w:rPr>
          <w:rFonts w:ascii="Times New Roman" w:eastAsia="Times New Roman" w:hAnsi="Times New Roman" w:cs="Times New Roman"/>
          <w:sz w:val="24"/>
          <w:szCs w:val="24"/>
        </w:rPr>
        <w:t xml:space="preserve"> Amtmann, </w:t>
      </w:r>
      <w:r>
        <w:rPr>
          <w:rFonts w:ascii="Times New Roman" w:eastAsia="Times New Roman" w:hAnsi="Times New Roman" w:cs="Times New Roman"/>
          <w:sz w:val="24"/>
          <w:szCs w:val="24"/>
        </w:rPr>
        <w:t xml:space="preserve">D., </w:t>
      </w:r>
      <w:r w:rsidRPr="0001327D">
        <w:rPr>
          <w:rFonts w:ascii="Times New Roman" w:eastAsia="Times New Roman" w:hAnsi="Times New Roman" w:cs="Times New Roman"/>
          <w:sz w:val="24"/>
          <w:szCs w:val="24"/>
        </w:rPr>
        <w:t>Callahan,</w:t>
      </w:r>
      <w:r>
        <w:rPr>
          <w:rFonts w:ascii="Times New Roman" w:eastAsia="Times New Roman" w:hAnsi="Times New Roman" w:cs="Times New Roman"/>
          <w:sz w:val="24"/>
          <w:szCs w:val="24"/>
        </w:rPr>
        <w:t xml:space="preserve"> L.F., </w:t>
      </w:r>
      <w:r w:rsidRPr="0001327D">
        <w:rPr>
          <w:rFonts w:ascii="Times New Roman" w:eastAsia="Times New Roman" w:hAnsi="Times New Roman" w:cs="Times New Roman"/>
          <w:sz w:val="24"/>
          <w:szCs w:val="24"/>
        </w:rPr>
        <w:t>Jensen</w:t>
      </w:r>
      <w:r>
        <w:rPr>
          <w:rFonts w:ascii="Times New Roman" w:eastAsia="Times New Roman" w:hAnsi="Times New Roman" w:cs="Times New Roman"/>
          <w:sz w:val="24"/>
          <w:szCs w:val="24"/>
        </w:rPr>
        <w:t>, M.P.</w:t>
      </w:r>
      <w:r w:rsidRPr="0001327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&amp; </w:t>
      </w:r>
      <w:r w:rsidRPr="0001327D">
        <w:rPr>
          <w:rFonts w:ascii="Times New Roman" w:eastAsia="Times New Roman" w:hAnsi="Times New Roman" w:cs="Times New Roman"/>
          <w:sz w:val="24"/>
          <w:szCs w:val="24"/>
        </w:rPr>
        <w:t>Keefe</w:t>
      </w:r>
      <w:r>
        <w:rPr>
          <w:rFonts w:ascii="Times New Roman" w:eastAsia="Times New Roman" w:hAnsi="Times New Roman" w:cs="Times New Roman"/>
          <w:sz w:val="24"/>
          <w:szCs w:val="24"/>
        </w:rPr>
        <w:t xml:space="preserve">, F.J. (2009). </w:t>
      </w:r>
      <w:r w:rsidRPr="0001327D">
        <w:rPr>
          <w:rFonts w:ascii="Times New Roman" w:eastAsia="Times New Roman" w:hAnsi="Times New Roman" w:cs="Times New Roman"/>
          <w:sz w:val="24"/>
          <w:szCs w:val="24"/>
        </w:rPr>
        <w:t>Development and psychometric analysis of the PROMIS pain behavior item bank</w:t>
      </w:r>
      <w:r>
        <w:rPr>
          <w:rFonts w:ascii="Times New Roman" w:eastAsia="Times New Roman" w:hAnsi="Times New Roman" w:cs="Times New Roman"/>
          <w:sz w:val="24"/>
          <w:szCs w:val="24"/>
        </w:rPr>
        <w:t xml:space="preserve">. </w:t>
      </w:r>
      <w:r w:rsidRPr="0001327D">
        <w:rPr>
          <w:rFonts w:ascii="Times New Roman" w:eastAsia="Times New Roman" w:hAnsi="Times New Roman" w:cs="Times New Roman"/>
          <w:sz w:val="24"/>
          <w:szCs w:val="24"/>
        </w:rPr>
        <w:t>P</w:t>
      </w:r>
      <w:r>
        <w:rPr>
          <w:rFonts w:ascii="Times New Roman" w:eastAsia="Times New Roman" w:hAnsi="Times New Roman" w:cs="Times New Roman"/>
          <w:sz w:val="24"/>
          <w:szCs w:val="24"/>
        </w:rPr>
        <w:t>ain,</w:t>
      </w:r>
      <w:r w:rsidRPr="0001327D">
        <w:rPr>
          <w:rFonts w:ascii="Times New Roman" w:eastAsia="Times New Roman" w:hAnsi="Times New Roman" w:cs="Times New Roman"/>
          <w:sz w:val="24"/>
          <w:szCs w:val="24"/>
        </w:rPr>
        <w:t>146</w:t>
      </w:r>
      <w:r>
        <w:rPr>
          <w:rFonts w:ascii="Times New Roman" w:eastAsia="Times New Roman" w:hAnsi="Times New Roman" w:cs="Times New Roman"/>
          <w:sz w:val="24"/>
          <w:szCs w:val="24"/>
        </w:rPr>
        <w:t xml:space="preserve"> (</w:t>
      </w:r>
      <w:r w:rsidRPr="0001327D">
        <w:rPr>
          <w:rFonts w:ascii="Times New Roman" w:eastAsia="Times New Roman" w:hAnsi="Times New Roman" w:cs="Times New Roman"/>
          <w:sz w:val="24"/>
          <w:szCs w:val="24"/>
        </w:rPr>
        <w:t>1–2</w:t>
      </w:r>
      <w:r>
        <w:rPr>
          <w:rFonts w:ascii="Times New Roman" w:eastAsia="Times New Roman" w:hAnsi="Times New Roman" w:cs="Times New Roman"/>
          <w:sz w:val="24"/>
          <w:szCs w:val="24"/>
        </w:rPr>
        <w:t>)</w:t>
      </w:r>
      <w:r w:rsidRPr="0001327D">
        <w:rPr>
          <w:rFonts w:ascii="Times New Roman" w:eastAsia="Times New Roman" w:hAnsi="Times New Roman" w:cs="Times New Roman"/>
          <w:sz w:val="24"/>
          <w:szCs w:val="24"/>
        </w:rPr>
        <w:t>,158-169</w:t>
      </w:r>
      <w:r>
        <w:rPr>
          <w:rFonts w:ascii="Times New Roman" w:eastAsia="Times New Roman" w:hAnsi="Times New Roman" w:cs="Times New Roman"/>
          <w:sz w:val="24"/>
          <w:szCs w:val="24"/>
        </w:rPr>
        <w:t>.</w:t>
      </w:r>
    </w:p>
    <w:p w14:paraId="7C11A94F" w14:textId="2D29042D" w:rsidR="00037D5A" w:rsidRPr="00037D5A" w:rsidRDefault="00037D5A" w:rsidP="00037D5A">
      <w:pPr>
        <w:spacing w:before="100" w:beforeAutospacing="1" w:after="100" w:afterAutospacing="1" w:line="240" w:lineRule="auto"/>
        <w:rPr>
          <w:rFonts w:ascii="Times New Roman" w:eastAsia="Times New Roman" w:hAnsi="Times New Roman" w:cs="Times New Roman"/>
          <w:sz w:val="24"/>
          <w:szCs w:val="24"/>
        </w:rPr>
      </w:pPr>
      <w:r w:rsidRPr="00037D5A">
        <w:rPr>
          <w:rFonts w:ascii="Times New Roman" w:eastAsia="Times New Roman" w:hAnsi="Times New Roman" w:cs="Times New Roman"/>
          <w:sz w:val="24"/>
          <w:szCs w:val="24"/>
        </w:rPr>
        <w:t>Skinner, H. A., &amp; Allen, B. A. (1982). Alcohol dependence syndrome: Measurement and validation. Journal of Abnormal Psychology, 91(3), 199-209.</w:t>
      </w:r>
    </w:p>
    <w:p w14:paraId="6276922C" w14:textId="099628AC" w:rsidR="00137028" w:rsidRDefault="00137028" w:rsidP="005309A0">
      <w:pPr>
        <w:spacing w:before="100" w:beforeAutospacing="1" w:after="100" w:afterAutospacing="1" w:line="240" w:lineRule="auto"/>
        <w:rPr>
          <w:rFonts w:ascii="Times New Roman" w:eastAsia="Times New Roman" w:hAnsi="Times New Roman" w:cs="Times New Roman"/>
          <w:sz w:val="24"/>
          <w:szCs w:val="24"/>
        </w:rPr>
      </w:pPr>
      <w:r w:rsidRPr="00B11CA8">
        <w:rPr>
          <w:rFonts w:ascii="Times New Roman" w:eastAsia="Times New Roman" w:hAnsi="Times New Roman" w:cs="Times New Roman"/>
          <w:sz w:val="24"/>
          <w:szCs w:val="24"/>
        </w:rPr>
        <w:t>Strachan, T., Ip, E.H. (2021). Bivariate Model for Latent Variables Jointly Assessing Attitude and Attitudinal Stability. Multivariate Behavioral Research, 56, 724–738.</w:t>
      </w:r>
    </w:p>
    <w:p w14:paraId="5B0355F3" w14:textId="72CDF680" w:rsidR="005309A0" w:rsidRDefault="005309A0" w:rsidP="005309A0">
      <w:pPr>
        <w:spacing w:before="100" w:beforeAutospacing="1" w:after="100" w:afterAutospacing="1" w:line="240" w:lineRule="auto"/>
        <w:rPr>
          <w:rFonts w:ascii="Times New Roman" w:eastAsia="Times New Roman" w:hAnsi="Times New Roman" w:cs="Times New Roman"/>
          <w:sz w:val="24"/>
          <w:szCs w:val="24"/>
        </w:rPr>
      </w:pPr>
      <w:r w:rsidRPr="004234E5">
        <w:rPr>
          <w:rFonts w:ascii="Times New Roman" w:eastAsia="Times New Roman" w:hAnsi="Times New Roman" w:cs="Times New Roman"/>
          <w:sz w:val="24"/>
          <w:szCs w:val="24"/>
        </w:rPr>
        <w:t xml:space="preserve">Tran, T.X.M., Park, J., Lee, J. et al. Utility of the Patient-Reported Outcomes Measurement Information System (PROMIS) to measure primary health outcomes in cancer patients: a systematic review. Support Care Cancer 29, 1723–1739 (2021). </w:t>
      </w:r>
      <w:hyperlink r:id="rId16" w:history="1">
        <w:r w:rsidRPr="009526C2">
          <w:rPr>
            <w:rStyle w:val="Hyperlink"/>
            <w:rFonts w:ascii="Times New Roman" w:eastAsia="Times New Roman" w:hAnsi="Times New Roman" w:cs="Times New Roman"/>
            <w:sz w:val="24"/>
            <w:szCs w:val="24"/>
          </w:rPr>
          <w:t>https://doi.org/10.1007/s00520-020-05801-6</w:t>
        </w:r>
      </w:hyperlink>
    </w:p>
    <w:p w14:paraId="2A053D65" w14:textId="77777777" w:rsidR="005309A0" w:rsidRDefault="005309A0" w:rsidP="005309A0">
      <w:pPr>
        <w:spacing w:before="100" w:beforeAutospacing="1" w:after="100" w:afterAutospacing="1" w:line="240" w:lineRule="auto"/>
        <w:rPr>
          <w:rFonts w:ascii="Times New Roman" w:eastAsia="Times New Roman" w:hAnsi="Times New Roman" w:cs="Times New Roman"/>
          <w:sz w:val="24"/>
          <w:szCs w:val="24"/>
        </w:rPr>
      </w:pPr>
      <w:r w:rsidRPr="00A478FE">
        <w:rPr>
          <w:rFonts w:ascii="Times New Roman" w:eastAsia="Times New Roman" w:hAnsi="Times New Roman" w:cs="Times New Roman"/>
          <w:sz w:val="24"/>
          <w:szCs w:val="24"/>
        </w:rPr>
        <w:t>Toner</w:t>
      </w:r>
      <w:r>
        <w:rPr>
          <w:rFonts w:ascii="Times New Roman" w:eastAsia="Times New Roman" w:hAnsi="Times New Roman" w:cs="Times New Roman"/>
          <w:sz w:val="24"/>
          <w:szCs w:val="24"/>
        </w:rPr>
        <w:t>, P.</w:t>
      </w:r>
      <w:r w:rsidRPr="00A478FE">
        <w:rPr>
          <w:rFonts w:ascii="Times New Roman" w:eastAsia="Times New Roman" w:hAnsi="Times New Roman" w:cs="Times New Roman"/>
          <w:sz w:val="24"/>
          <w:szCs w:val="24"/>
        </w:rPr>
        <w:t xml:space="preserve">, </w:t>
      </w:r>
      <w:proofErr w:type="spellStart"/>
      <w:r w:rsidRPr="00A478FE">
        <w:rPr>
          <w:rFonts w:ascii="Times New Roman" w:eastAsia="Times New Roman" w:hAnsi="Times New Roman" w:cs="Times New Roman"/>
          <w:sz w:val="24"/>
          <w:szCs w:val="24"/>
        </w:rPr>
        <w:t>Böhnke</w:t>
      </w:r>
      <w:proofErr w:type="spellEnd"/>
      <w:r>
        <w:rPr>
          <w:rFonts w:ascii="Times New Roman" w:eastAsia="Times New Roman" w:hAnsi="Times New Roman" w:cs="Times New Roman"/>
          <w:sz w:val="24"/>
          <w:szCs w:val="24"/>
        </w:rPr>
        <w:t xml:space="preserve">, J.R., </w:t>
      </w:r>
      <w:r w:rsidRPr="00A478FE">
        <w:rPr>
          <w:rFonts w:ascii="Times New Roman" w:eastAsia="Times New Roman" w:hAnsi="Times New Roman" w:cs="Times New Roman"/>
          <w:sz w:val="24"/>
          <w:szCs w:val="24"/>
        </w:rPr>
        <w:t>Andersen</w:t>
      </w:r>
      <w:r>
        <w:rPr>
          <w:rFonts w:ascii="Times New Roman" w:eastAsia="Times New Roman" w:hAnsi="Times New Roman" w:cs="Times New Roman"/>
          <w:sz w:val="24"/>
          <w:szCs w:val="24"/>
        </w:rPr>
        <w:t>, P.</w:t>
      </w:r>
      <w:r w:rsidRPr="00A478F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&amp; </w:t>
      </w:r>
      <w:r w:rsidRPr="00A478FE">
        <w:rPr>
          <w:rFonts w:ascii="Times New Roman" w:eastAsia="Times New Roman" w:hAnsi="Times New Roman" w:cs="Times New Roman"/>
          <w:sz w:val="24"/>
          <w:szCs w:val="24"/>
        </w:rPr>
        <w:t>McCambridge</w:t>
      </w:r>
      <w:r>
        <w:rPr>
          <w:rFonts w:ascii="Times New Roman" w:eastAsia="Times New Roman" w:hAnsi="Times New Roman" w:cs="Times New Roman"/>
          <w:sz w:val="24"/>
          <w:szCs w:val="24"/>
        </w:rPr>
        <w:t xml:space="preserve"> J. (2019). </w:t>
      </w:r>
      <w:r w:rsidRPr="00A478FE">
        <w:rPr>
          <w:rFonts w:ascii="Times New Roman" w:eastAsia="Times New Roman" w:hAnsi="Times New Roman" w:cs="Times New Roman"/>
          <w:sz w:val="24"/>
          <w:szCs w:val="24"/>
        </w:rPr>
        <w:t>Alcohol screening and assessment measures for young people: A systematic review and meta-analysis of validation studies</w:t>
      </w:r>
      <w:r>
        <w:rPr>
          <w:rFonts w:ascii="Times New Roman" w:eastAsia="Times New Roman" w:hAnsi="Times New Roman" w:cs="Times New Roman"/>
          <w:sz w:val="24"/>
          <w:szCs w:val="24"/>
        </w:rPr>
        <w:t xml:space="preserve">. </w:t>
      </w:r>
      <w:r w:rsidRPr="00A478FE">
        <w:rPr>
          <w:rFonts w:ascii="Times New Roman" w:eastAsia="Times New Roman" w:hAnsi="Times New Roman" w:cs="Times New Roman"/>
          <w:sz w:val="24"/>
          <w:szCs w:val="24"/>
        </w:rPr>
        <w:t>Drug and Alcohol Dependence,</w:t>
      </w:r>
      <w:r>
        <w:rPr>
          <w:rFonts w:ascii="Times New Roman" w:eastAsia="Times New Roman" w:hAnsi="Times New Roman" w:cs="Times New Roman"/>
          <w:sz w:val="24"/>
          <w:szCs w:val="24"/>
        </w:rPr>
        <w:t xml:space="preserve"> </w:t>
      </w:r>
      <w:r w:rsidRPr="00A478FE">
        <w:rPr>
          <w:rFonts w:ascii="Times New Roman" w:eastAsia="Times New Roman" w:hAnsi="Times New Roman" w:cs="Times New Roman"/>
          <w:sz w:val="24"/>
          <w:szCs w:val="24"/>
        </w:rPr>
        <w:t>202,</w:t>
      </w:r>
      <w:r>
        <w:rPr>
          <w:rFonts w:ascii="Times New Roman" w:eastAsia="Times New Roman" w:hAnsi="Times New Roman" w:cs="Times New Roman"/>
          <w:sz w:val="24"/>
          <w:szCs w:val="24"/>
        </w:rPr>
        <w:t xml:space="preserve"> </w:t>
      </w:r>
      <w:r w:rsidRPr="00A478FE">
        <w:rPr>
          <w:rFonts w:ascii="Times New Roman" w:eastAsia="Times New Roman" w:hAnsi="Times New Roman" w:cs="Times New Roman"/>
          <w:sz w:val="24"/>
          <w:szCs w:val="24"/>
        </w:rPr>
        <w:t>39-49</w:t>
      </w:r>
      <w:r>
        <w:rPr>
          <w:rFonts w:ascii="Times New Roman" w:eastAsia="Times New Roman" w:hAnsi="Times New Roman" w:cs="Times New Roman"/>
          <w:sz w:val="24"/>
          <w:szCs w:val="24"/>
        </w:rPr>
        <w:t xml:space="preserve">. </w:t>
      </w:r>
    </w:p>
    <w:p w14:paraId="1BCB2F1B" w14:textId="2AAB6A6E" w:rsidR="0070064F" w:rsidRDefault="00104708" w:rsidP="001249D4">
      <w:pPr>
        <w:spacing w:before="100" w:beforeAutospacing="1" w:after="100" w:afterAutospacing="1" w:line="240" w:lineRule="auto"/>
        <w:rPr>
          <w:rFonts w:ascii="Times New Roman" w:eastAsia="Times New Roman" w:hAnsi="Times New Roman" w:cs="Times New Roman"/>
          <w:sz w:val="24"/>
          <w:szCs w:val="24"/>
        </w:rPr>
      </w:pPr>
      <w:r w:rsidRPr="00104708">
        <w:rPr>
          <w:rFonts w:ascii="Times New Roman" w:eastAsia="Times New Roman" w:hAnsi="Times New Roman" w:cs="Times New Roman"/>
          <w:sz w:val="24"/>
          <w:szCs w:val="24"/>
        </w:rPr>
        <w:t xml:space="preserve">Wall, M. M., Park, J. Y., </w:t>
      </w:r>
      <w:proofErr w:type="spellStart"/>
      <w:r w:rsidRPr="00104708">
        <w:rPr>
          <w:rFonts w:ascii="Times New Roman" w:eastAsia="Times New Roman" w:hAnsi="Times New Roman" w:cs="Times New Roman"/>
          <w:sz w:val="24"/>
          <w:szCs w:val="24"/>
        </w:rPr>
        <w:t>Moustaki</w:t>
      </w:r>
      <w:proofErr w:type="spellEnd"/>
      <w:r w:rsidRPr="00104708">
        <w:rPr>
          <w:rFonts w:ascii="Times New Roman" w:eastAsia="Times New Roman" w:hAnsi="Times New Roman" w:cs="Times New Roman"/>
          <w:sz w:val="24"/>
          <w:szCs w:val="24"/>
        </w:rPr>
        <w:t xml:space="preserve">, I. </w:t>
      </w:r>
      <w:r w:rsidR="004D23AF">
        <w:rPr>
          <w:rFonts w:ascii="Times New Roman" w:eastAsia="Times New Roman" w:hAnsi="Times New Roman" w:cs="Times New Roman"/>
          <w:sz w:val="24"/>
          <w:szCs w:val="24"/>
        </w:rPr>
        <w:t xml:space="preserve">(2015). </w:t>
      </w:r>
      <w:r w:rsidRPr="00104708">
        <w:rPr>
          <w:rFonts w:ascii="Times New Roman" w:eastAsia="Times New Roman" w:hAnsi="Times New Roman" w:cs="Times New Roman"/>
          <w:sz w:val="24"/>
          <w:szCs w:val="24"/>
        </w:rPr>
        <w:t>IRT modeling in the presence of zero-inflation with application to psychiatric disorder severity. Applied Psychological Measurement, (2015). 39, 583 59729881029 5978495</w:t>
      </w:r>
    </w:p>
    <w:p w14:paraId="4166F7A9" w14:textId="4F176670" w:rsidR="00FA5EEE" w:rsidRDefault="00E80D64" w:rsidP="001249D4">
      <w:pPr>
        <w:spacing w:before="100" w:beforeAutospacing="1" w:after="100" w:afterAutospacing="1" w:line="240" w:lineRule="auto"/>
        <w:rPr>
          <w:rFonts w:ascii="Times New Roman" w:eastAsia="Times New Roman" w:hAnsi="Times New Roman" w:cs="Times New Roman"/>
          <w:sz w:val="24"/>
          <w:szCs w:val="24"/>
        </w:rPr>
      </w:pPr>
      <w:r w:rsidRPr="00E80D64">
        <w:rPr>
          <w:rFonts w:ascii="Times New Roman" w:eastAsia="Times New Roman" w:hAnsi="Times New Roman" w:cs="Times New Roman"/>
          <w:sz w:val="24"/>
          <w:szCs w:val="24"/>
        </w:rPr>
        <w:t>Zhang, Q., Ip, E.H. (2012). Generalized Linear Model for Partially Ordered Data. Statistics in Medicine, 31, 56-68.</w:t>
      </w:r>
    </w:p>
    <w:p w14:paraId="3A86CFC3" w14:textId="77777777" w:rsidR="00B062CC" w:rsidRDefault="00B062CC" w:rsidP="00B062CC"/>
    <w:sectPr w:rsidR="00B062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8C777E"/>
    <w:multiLevelType w:val="multilevel"/>
    <w:tmpl w:val="EB6419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8487DEB"/>
    <w:multiLevelType w:val="multilevel"/>
    <w:tmpl w:val="06CC21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A4147EB"/>
    <w:multiLevelType w:val="hybridMultilevel"/>
    <w:tmpl w:val="3EA21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AA511D"/>
    <w:multiLevelType w:val="multilevel"/>
    <w:tmpl w:val="35789F2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08C27CD"/>
    <w:multiLevelType w:val="multilevel"/>
    <w:tmpl w:val="292CDA3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430499A"/>
    <w:multiLevelType w:val="hybridMultilevel"/>
    <w:tmpl w:val="D2C4420A"/>
    <w:lvl w:ilvl="0" w:tplc="C9B82620">
      <w:start w:val="1"/>
      <w:numFmt w:val="bullet"/>
      <w:lvlText w:val="•"/>
      <w:lvlJc w:val="left"/>
      <w:pPr>
        <w:tabs>
          <w:tab w:val="num" w:pos="720"/>
        </w:tabs>
        <w:ind w:left="720" w:hanging="360"/>
      </w:pPr>
      <w:rPr>
        <w:rFonts w:ascii="Arial" w:hAnsi="Arial" w:hint="default"/>
      </w:rPr>
    </w:lvl>
    <w:lvl w:ilvl="1" w:tplc="1074A944">
      <w:numFmt w:val="bullet"/>
      <w:lvlText w:val="•"/>
      <w:lvlJc w:val="left"/>
      <w:pPr>
        <w:tabs>
          <w:tab w:val="num" w:pos="1440"/>
        </w:tabs>
        <w:ind w:left="1440" w:hanging="360"/>
      </w:pPr>
      <w:rPr>
        <w:rFonts w:ascii="Arial" w:hAnsi="Arial" w:hint="default"/>
      </w:rPr>
    </w:lvl>
    <w:lvl w:ilvl="2" w:tplc="11262F4A" w:tentative="1">
      <w:start w:val="1"/>
      <w:numFmt w:val="bullet"/>
      <w:lvlText w:val="•"/>
      <w:lvlJc w:val="left"/>
      <w:pPr>
        <w:tabs>
          <w:tab w:val="num" w:pos="2160"/>
        </w:tabs>
        <w:ind w:left="2160" w:hanging="360"/>
      </w:pPr>
      <w:rPr>
        <w:rFonts w:ascii="Arial" w:hAnsi="Arial" w:hint="default"/>
      </w:rPr>
    </w:lvl>
    <w:lvl w:ilvl="3" w:tplc="83442E5C" w:tentative="1">
      <w:start w:val="1"/>
      <w:numFmt w:val="bullet"/>
      <w:lvlText w:val="•"/>
      <w:lvlJc w:val="left"/>
      <w:pPr>
        <w:tabs>
          <w:tab w:val="num" w:pos="2880"/>
        </w:tabs>
        <w:ind w:left="2880" w:hanging="360"/>
      </w:pPr>
      <w:rPr>
        <w:rFonts w:ascii="Arial" w:hAnsi="Arial" w:hint="default"/>
      </w:rPr>
    </w:lvl>
    <w:lvl w:ilvl="4" w:tplc="06207B94" w:tentative="1">
      <w:start w:val="1"/>
      <w:numFmt w:val="bullet"/>
      <w:lvlText w:val="•"/>
      <w:lvlJc w:val="left"/>
      <w:pPr>
        <w:tabs>
          <w:tab w:val="num" w:pos="3600"/>
        </w:tabs>
        <w:ind w:left="3600" w:hanging="360"/>
      </w:pPr>
      <w:rPr>
        <w:rFonts w:ascii="Arial" w:hAnsi="Arial" w:hint="default"/>
      </w:rPr>
    </w:lvl>
    <w:lvl w:ilvl="5" w:tplc="47A28084" w:tentative="1">
      <w:start w:val="1"/>
      <w:numFmt w:val="bullet"/>
      <w:lvlText w:val="•"/>
      <w:lvlJc w:val="left"/>
      <w:pPr>
        <w:tabs>
          <w:tab w:val="num" w:pos="4320"/>
        </w:tabs>
        <w:ind w:left="4320" w:hanging="360"/>
      </w:pPr>
      <w:rPr>
        <w:rFonts w:ascii="Arial" w:hAnsi="Arial" w:hint="default"/>
      </w:rPr>
    </w:lvl>
    <w:lvl w:ilvl="6" w:tplc="B27023CA" w:tentative="1">
      <w:start w:val="1"/>
      <w:numFmt w:val="bullet"/>
      <w:lvlText w:val="•"/>
      <w:lvlJc w:val="left"/>
      <w:pPr>
        <w:tabs>
          <w:tab w:val="num" w:pos="5040"/>
        </w:tabs>
        <w:ind w:left="5040" w:hanging="360"/>
      </w:pPr>
      <w:rPr>
        <w:rFonts w:ascii="Arial" w:hAnsi="Arial" w:hint="default"/>
      </w:rPr>
    </w:lvl>
    <w:lvl w:ilvl="7" w:tplc="5C78D52A" w:tentative="1">
      <w:start w:val="1"/>
      <w:numFmt w:val="bullet"/>
      <w:lvlText w:val="•"/>
      <w:lvlJc w:val="left"/>
      <w:pPr>
        <w:tabs>
          <w:tab w:val="num" w:pos="5760"/>
        </w:tabs>
        <w:ind w:left="5760" w:hanging="360"/>
      </w:pPr>
      <w:rPr>
        <w:rFonts w:ascii="Arial" w:hAnsi="Arial" w:hint="default"/>
      </w:rPr>
    </w:lvl>
    <w:lvl w:ilvl="8" w:tplc="37FC40F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37CF4818"/>
    <w:multiLevelType w:val="multilevel"/>
    <w:tmpl w:val="0DEC5F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C3B56F7"/>
    <w:multiLevelType w:val="hybridMultilevel"/>
    <w:tmpl w:val="8166855E"/>
    <w:lvl w:ilvl="0" w:tplc="F956EAE2">
      <w:start w:val="2"/>
      <w:numFmt w:val="bullet"/>
      <w:lvlText w:val=""/>
      <w:lvlJc w:val="left"/>
      <w:pPr>
        <w:ind w:left="720" w:hanging="360"/>
      </w:pPr>
      <w:rPr>
        <w:rFonts w:ascii="Symbol" w:eastAsia="Times New Roman" w:hAnsi="Symbol"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3C04C4"/>
    <w:multiLevelType w:val="hybridMultilevel"/>
    <w:tmpl w:val="93E8D6C2"/>
    <w:lvl w:ilvl="0" w:tplc="71ECD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7E613E"/>
    <w:multiLevelType w:val="hybridMultilevel"/>
    <w:tmpl w:val="A95A674A"/>
    <w:lvl w:ilvl="0" w:tplc="F5F6A496">
      <w:start w:val="1"/>
      <w:numFmt w:val="lowerLetter"/>
      <w:lvlText w:val="(%1)"/>
      <w:lvlJc w:val="left"/>
      <w:pPr>
        <w:ind w:left="5400" w:hanging="360"/>
      </w:pPr>
      <w:rPr>
        <w:rFonts w:hint="default"/>
      </w:r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10" w15:restartNumberingAfterBreak="0">
    <w:nsid w:val="454D606C"/>
    <w:multiLevelType w:val="multilevel"/>
    <w:tmpl w:val="959C0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3C26859"/>
    <w:multiLevelType w:val="multilevel"/>
    <w:tmpl w:val="E09A1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C9A2217"/>
    <w:multiLevelType w:val="hybridMultilevel"/>
    <w:tmpl w:val="758E6D2A"/>
    <w:lvl w:ilvl="0" w:tplc="DDE2C81C">
      <w:start w:val="1"/>
      <w:numFmt w:val="lowerLetter"/>
      <w:lvlText w:val="(%1)"/>
      <w:lvlJc w:val="left"/>
      <w:pPr>
        <w:ind w:left="2640" w:hanging="360"/>
      </w:pPr>
      <w:rPr>
        <w:rFonts w:hint="default"/>
      </w:rPr>
    </w:lvl>
    <w:lvl w:ilvl="1" w:tplc="04090019" w:tentative="1">
      <w:start w:val="1"/>
      <w:numFmt w:val="lowerLetter"/>
      <w:lvlText w:val="%2."/>
      <w:lvlJc w:val="left"/>
      <w:pPr>
        <w:ind w:left="3360" w:hanging="360"/>
      </w:pPr>
    </w:lvl>
    <w:lvl w:ilvl="2" w:tplc="0409001B" w:tentative="1">
      <w:start w:val="1"/>
      <w:numFmt w:val="lowerRoman"/>
      <w:lvlText w:val="%3."/>
      <w:lvlJc w:val="right"/>
      <w:pPr>
        <w:ind w:left="4080" w:hanging="180"/>
      </w:pPr>
    </w:lvl>
    <w:lvl w:ilvl="3" w:tplc="0409000F" w:tentative="1">
      <w:start w:val="1"/>
      <w:numFmt w:val="decimal"/>
      <w:lvlText w:val="%4."/>
      <w:lvlJc w:val="left"/>
      <w:pPr>
        <w:ind w:left="4800" w:hanging="360"/>
      </w:pPr>
    </w:lvl>
    <w:lvl w:ilvl="4" w:tplc="04090019" w:tentative="1">
      <w:start w:val="1"/>
      <w:numFmt w:val="lowerLetter"/>
      <w:lvlText w:val="%5."/>
      <w:lvlJc w:val="left"/>
      <w:pPr>
        <w:ind w:left="5520" w:hanging="360"/>
      </w:pPr>
    </w:lvl>
    <w:lvl w:ilvl="5" w:tplc="0409001B" w:tentative="1">
      <w:start w:val="1"/>
      <w:numFmt w:val="lowerRoman"/>
      <w:lvlText w:val="%6."/>
      <w:lvlJc w:val="right"/>
      <w:pPr>
        <w:ind w:left="6240" w:hanging="180"/>
      </w:pPr>
    </w:lvl>
    <w:lvl w:ilvl="6" w:tplc="0409000F" w:tentative="1">
      <w:start w:val="1"/>
      <w:numFmt w:val="decimal"/>
      <w:lvlText w:val="%7."/>
      <w:lvlJc w:val="left"/>
      <w:pPr>
        <w:ind w:left="6960" w:hanging="360"/>
      </w:pPr>
    </w:lvl>
    <w:lvl w:ilvl="7" w:tplc="04090019" w:tentative="1">
      <w:start w:val="1"/>
      <w:numFmt w:val="lowerLetter"/>
      <w:lvlText w:val="%8."/>
      <w:lvlJc w:val="left"/>
      <w:pPr>
        <w:ind w:left="7680" w:hanging="360"/>
      </w:pPr>
    </w:lvl>
    <w:lvl w:ilvl="8" w:tplc="0409001B" w:tentative="1">
      <w:start w:val="1"/>
      <w:numFmt w:val="lowerRoman"/>
      <w:lvlText w:val="%9."/>
      <w:lvlJc w:val="right"/>
      <w:pPr>
        <w:ind w:left="8400" w:hanging="180"/>
      </w:pPr>
    </w:lvl>
  </w:abstractNum>
  <w:abstractNum w:abstractNumId="13" w15:restartNumberingAfterBreak="0">
    <w:nsid w:val="7A87561C"/>
    <w:multiLevelType w:val="multilevel"/>
    <w:tmpl w:val="4BE05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D7F47E2"/>
    <w:multiLevelType w:val="hybridMultilevel"/>
    <w:tmpl w:val="C46ABDC6"/>
    <w:lvl w:ilvl="0" w:tplc="EBA0DDAE">
      <w:start w:val="1"/>
      <w:numFmt w:val="bullet"/>
      <w:lvlText w:val="•"/>
      <w:lvlJc w:val="left"/>
      <w:pPr>
        <w:tabs>
          <w:tab w:val="num" w:pos="720"/>
        </w:tabs>
        <w:ind w:left="720" w:hanging="360"/>
      </w:pPr>
      <w:rPr>
        <w:rFonts w:ascii="Arial" w:hAnsi="Arial" w:hint="default"/>
      </w:rPr>
    </w:lvl>
    <w:lvl w:ilvl="1" w:tplc="FD16C29E" w:tentative="1">
      <w:start w:val="1"/>
      <w:numFmt w:val="bullet"/>
      <w:lvlText w:val="•"/>
      <w:lvlJc w:val="left"/>
      <w:pPr>
        <w:tabs>
          <w:tab w:val="num" w:pos="1440"/>
        </w:tabs>
        <w:ind w:left="1440" w:hanging="360"/>
      </w:pPr>
      <w:rPr>
        <w:rFonts w:ascii="Arial" w:hAnsi="Arial" w:hint="default"/>
      </w:rPr>
    </w:lvl>
    <w:lvl w:ilvl="2" w:tplc="A79E0ACC" w:tentative="1">
      <w:start w:val="1"/>
      <w:numFmt w:val="bullet"/>
      <w:lvlText w:val="•"/>
      <w:lvlJc w:val="left"/>
      <w:pPr>
        <w:tabs>
          <w:tab w:val="num" w:pos="2160"/>
        </w:tabs>
        <w:ind w:left="2160" w:hanging="360"/>
      </w:pPr>
      <w:rPr>
        <w:rFonts w:ascii="Arial" w:hAnsi="Arial" w:hint="default"/>
      </w:rPr>
    </w:lvl>
    <w:lvl w:ilvl="3" w:tplc="A784E45E" w:tentative="1">
      <w:start w:val="1"/>
      <w:numFmt w:val="bullet"/>
      <w:lvlText w:val="•"/>
      <w:lvlJc w:val="left"/>
      <w:pPr>
        <w:tabs>
          <w:tab w:val="num" w:pos="2880"/>
        </w:tabs>
        <w:ind w:left="2880" w:hanging="360"/>
      </w:pPr>
      <w:rPr>
        <w:rFonts w:ascii="Arial" w:hAnsi="Arial" w:hint="default"/>
      </w:rPr>
    </w:lvl>
    <w:lvl w:ilvl="4" w:tplc="9E50DDDC" w:tentative="1">
      <w:start w:val="1"/>
      <w:numFmt w:val="bullet"/>
      <w:lvlText w:val="•"/>
      <w:lvlJc w:val="left"/>
      <w:pPr>
        <w:tabs>
          <w:tab w:val="num" w:pos="3600"/>
        </w:tabs>
        <w:ind w:left="3600" w:hanging="360"/>
      </w:pPr>
      <w:rPr>
        <w:rFonts w:ascii="Arial" w:hAnsi="Arial" w:hint="default"/>
      </w:rPr>
    </w:lvl>
    <w:lvl w:ilvl="5" w:tplc="E2FC60EE" w:tentative="1">
      <w:start w:val="1"/>
      <w:numFmt w:val="bullet"/>
      <w:lvlText w:val="•"/>
      <w:lvlJc w:val="left"/>
      <w:pPr>
        <w:tabs>
          <w:tab w:val="num" w:pos="4320"/>
        </w:tabs>
        <w:ind w:left="4320" w:hanging="360"/>
      </w:pPr>
      <w:rPr>
        <w:rFonts w:ascii="Arial" w:hAnsi="Arial" w:hint="default"/>
      </w:rPr>
    </w:lvl>
    <w:lvl w:ilvl="6" w:tplc="E4AAE428" w:tentative="1">
      <w:start w:val="1"/>
      <w:numFmt w:val="bullet"/>
      <w:lvlText w:val="•"/>
      <w:lvlJc w:val="left"/>
      <w:pPr>
        <w:tabs>
          <w:tab w:val="num" w:pos="5040"/>
        </w:tabs>
        <w:ind w:left="5040" w:hanging="360"/>
      </w:pPr>
      <w:rPr>
        <w:rFonts w:ascii="Arial" w:hAnsi="Arial" w:hint="default"/>
      </w:rPr>
    </w:lvl>
    <w:lvl w:ilvl="7" w:tplc="5EB849BE" w:tentative="1">
      <w:start w:val="1"/>
      <w:numFmt w:val="bullet"/>
      <w:lvlText w:val="•"/>
      <w:lvlJc w:val="left"/>
      <w:pPr>
        <w:tabs>
          <w:tab w:val="num" w:pos="5760"/>
        </w:tabs>
        <w:ind w:left="5760" w:hanging="360"/>
      </w:pPr>
      <w:rPr>
        <w:rFonts w:ascii="Arial" w:hAnsi="Arial" w:hint="default"/>
      </w:rPr>
    </w:lvl>
    <w:lvl w:ilvl="8" w:tplc="73A88396"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7FD61A1E"/>
    <w:multiLevelType w:val="multilevel"/>
    <w:tmpl w:val="5E1CE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00119502">
    <w:abstractNumId w:val="14"/>
  </w:num>
  <w:num w:numId="2" w16cid:durableId="1979142426">
    <w:abstractNumId w:val="5"/>
  </w:num>
  <w:num w:numId="3" w16cid:durableId="1948737590">
    <w:abstractNumId w:val="8"/>
  </w:num>
  <w:num w:numId="4" w16cid:durableId="1077939841">
    <w:abstractNumId w:val="11"/>
  </w:num>
  <w:num w:numId="5" w16cid:durableId="467209848">
    <w:abstractNumId w:val="4"/>
  </w:num>
  <w:num w:numId="6" w16cid:durableId="708266466">
    <w:abstractNumId w:val="10"/>
  </w:num>
  <w:num w:numId="7" w16cid:durableId="635450015">
    <w:abstractNumId w:val="1"/>
  </w:num>
  <w:num w:numId="8" w16cid:durableId="1906258536">
    <w:abstractNumId w:val="3"/>
  </w:num>
  <w:num w:numId="9" w16cid:durableId="951672598">
    <w:abstractNumId w:val="15"/>
  </w:num>
  <w:num w:numId="10" w16cid:durableId="172571207">
    <w:abstractNumId w:val="0"/>
  </w:num>
  <w:num w:numId="11" w16cid:durableId="1276401731">
    <w:abstractNumId w:val="13"/>
  </w:num>
  <w:num w:numId="12" w16cid:durableId="604465498">
    <w:abstractNumId w:val="9"/>
  </w:num>
  <w:num w:numId="13" w16cid:durableId="1845511642">
    <w:abstractNumId w:val="12"/>
  </w:num>
  <w:num w:numId="14" w16cid:durableId="1331181755">
    <w:abstractNumId w:val="2"/>
  </w:num>
  <w:num w:numId="15" w16cid:durableId="752773825">
    <w:abstractNumId w:val="6"/>
  </w:num>
  <w:num w:numId="16" w16cid:durableId="29780729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2CC"/>
    <w:rsid w:val="00012C94"/>
    <w:rsid w:val="0001327D"/>
    <w:rsid w:val="00014424"/>
    <w:rsid w:val="00014E09"/>
    <w:rsid w:val="00016527"/>
    <w:rsid w:val="000165BA"/>
    <w:rsid w:val="00017DC2"/>
    <w:rsid w:val="00021898"/>
    <w:rsid w:val="00024C82"/>
    <w:rsid w:val="00037D5A"/>
    <w:rsid w:val="000427EF"/>
    <w:rsid w:val="00043048"/>
    <w:rsid w:val="00043D05"/>
    <w:rsid w:val="00046F2B"/>
    <w:rsid w:val="00052564"/>
    <w:rsid w:val="00053E5D"/>
    <w:rsid w:val="000632A4"/>
    <w:rsid w:val="00064904"/>
    <w:rsid w:val="00065B4E"/>
    <w:rsid w:val="00066702"/>
    <w:rsid w:val="00067FF5"/>
    <w:rsid w:val="000705CE"/>
    <w:rsid w:val="000719BC"/>
    <w:rsid w:val="000738CA"/>
    <w:rsid w:val="000764F9"/>
    <w:rsid w:val="0008143C"/>
    <w:rsid w:val="00083BC8"/>
    <w:rsid w:val="00085254"/>
    <w:rsid w:val="00092276"/>
    <w:rsid w:val="000944C1"/>
    <w:rsid w:val="000A1F65"/>
    <w:rsid w:val="000A4B9A"/>
    <w:rsid w:val="000A76E2"/>
    <w:rsid w:val="000A7AB6"/>
    <w:rsid w:val="000B2334"/>
    <w:rsid w:val="000B47A4"/>
    <w:rsid w:val="000B4A34"/>
    <w:rsid w:val="000B5940"/>
    <w:rsid w:val="000B5F54"/>
    <w:rsid w:val="000B7C4D"/>
    <w:rsid w:val="000C5585"/>
    <w:rsid w:val="000C5BA4"/>
    <w:rsid w:val="000C7970"/>
    <w:rsid w:val="000D115C"/>
    <w:rsid w:val="000D2377"/>
    <w:rsid w:val="000D3D9C"/>
    <w:rsid w:val="000D59C7"/>
    <w:rsid w:val="000E0D9F"/>
    <w:rsid w:val="000E1EE5"/>
    <w:rsid w:val="000E235F"/>
    <w:rsid w:val="000E3FEB"/>
    <w:rsid w:val="000E541C"/>
    <w:rsid w:val="000E673B"/>
    <w:rsid w:val="000E6D45"/>
    <w:rsid w:val="000F45F1"/>
    <w:rsid w:val="000F57DF"/>
    <w:rsid w:val="000F657F"/>
    <w:rsid w:val="000F7AED"/>
    <w:rsid w:val="00100936"/>
    <w:rsid w:val="001017CE"/>
    <w:rsid w:val="001031C5"/>
    <w:rsid w:val="001037CC"/>
    <w:rsid w:val="00104708"/>
    <w:rsid w:val="00107BA6"/>
    <w:rsid w:val="00114230"/>
    <w:rsid w:val="00114969"/>
    <w:rsid w:val="00117442"/>
    <w:rsid w:val="001175CB"/>
    <w:rsid w:val="001249D4"/>
    <w:rsid w:val="001302B5"/>
    <w:rsid w:val="001336ED"/>
    <w:rsid w:val="00134062"/>
    <w:rsid w:val="0013621E"/>
    <w:rsid w:val="00137028"/>
    <w:rsid w:val="00137526"/>
    <w:rsid w:val="001402E3"/>
    <w:rsid w:val="0014038D"/>
    <w:rsid w:val="001436AB"/>
    <w:rsid w:val="00150F96"/>
    <w:rsid w:val="00152E42"/>
    <w:rsid w:val="0015486D"/>
    <w:rsid w:val="001578B4"/>
    <w:rsid w:val="001610AB"/>
    <w:rsid w:val="001617A0"/>
    <w:rsid w:val="0016442A"/>
    <w:rsid w:val="00166F28"/>
    <w:rsid w:val="00170174"/>
    <w:rsid w:val="00171588"/>
    <w:rsid w:val="0017409A"/>
    <w:rsid w:val="001801CC"/>
    <w:rsid w:val="001952B6"/>
    <w:rsid w:val="001963F4"/>
    <w:rsid w:val="00197143"/>
    <w:rsid w:val="001A1078"/>
    <w:rsid w:val="001A2EE9"/>
    <w:rsid w:val="001A3F28"/>
    <w:rsid w:val="001B1071"/>
    <w:rsid w:val="001B452D"/>
    <w:rsid w:val="001B7444"/>
    <w:rsid w:val="001C4556"/>
    <w:rsid w:val="001C492F"/>
    <w:rsid w:val="001C4D97"/>
    <w:rsid w:val="001C59B3"/>
    <w:rsid w:val="001C6573"/>
    <w:rsid w:val="001D0D38"/>
    <w:rsid w:val="001D23BE"/>
    <w:rsid w:val="001D2876"/>
    <w:rsid w:val="001D381E"/>
    <w:rsid w:val="001D53AD"/>
    <w:rsid w:val="001F6BDA"/>
    <w:rsid w:val="001F7216"/>
    <w:rsid w:val="00200EED"/>
    <w:rsid w:val="002035FA"/>
    <w:rsid w:val="00204641"/>
    <w:rsid w:val="00207A4E"/>
    <w:rsid w:val="00213DC2"/>
    <w:rsid w:val="00214265"/>
    <w:rsid w:val="00216778"/>
    <w:rsid w:val="00220456"/>
    <w:rsid w:val="00223C51"/>
    <w:rsid w:val="00224628"/>
    <w:rsid w:val="002307BD"/>
    <w:rsid w:val="00235183"/>
    <w:rsid w:val="00235C9F"/>
    <w:rsid w:val="002429DF"/>
    <w:rsid w:val="00242DEA"/>
    <w:rsid w:val="0024396F"/>
    <w:rsid w:val="00243DF4"/>
    <w:rsid w:val="00246BEB"/>
    <w:rsid w:val="00252BBD"/>
    <w:rsid w:val="00255DF1"/>
    <w:rsid w:val="00256559"/>
    <w:rsid w:val="002610EF"/>
    <w:rsid w:val="00263AE1"/>
    <w:rsid w:val="00264E92"/>
    <w:rsid w:val="002661A0"/>
    <w:rsid w:val="002717E5"/>
    <w:rsid w:val="00271DE8"/>
    <w:rsid w:val="00272BF4"/>
    <w:rsid w:val="0028483A"/>
    <w:rsid w:val="0029479B"/>
    <w:rsid w:val="002A0786"/>
    <w:rsid w:val="002A37CD"/>
    <w:rsid w:val="002A4CEC"/>
    <w:rsid w:val="002A4DCE"/>
    <w:rsid w:val="002B0E26"/>
    <w:rsid w:val="002B48DD"/>
    <w:rsid w:val="002C2352"/>
    <w:rsid w:val="002C3544"/>
    <w:rsid w:val="002C7994"/>
    <w:rsid w:val="002C7A86"/>
    <w:rsid w:val="002D042E"/>
    <w:rsid w:val="002D1FD1"/>
    <w:rsid w:val="002D2289"/>
    <w:rsid w:val="002D23A5"/>
    <w:rsid w:val="002D48C9"/>
    <w:rsid w:val="002E159D"/>
    <w:rsid w:val="002E1F40"/>
    <w:rsid w:val="002E2C7F"/>
    <w:rsid w:val="002F2543"/>
    <w:rsid w:val="002F421F"/>
    <w:rsid w:val="002F6A85"/>
    <w:rsid w:val="002F6FC4"/>
    <w:rsid w:val="00305BE0"/>
    <w:rsid w:val="003173AF"/>
    <w:rsid w:val="003218C3"/>
    <w:rsid w:val="003245BE"/>
    <w:rsid w:val="00324DEC"/>
    <w:rsid w:val="0032782B"/>
    <w:rsid w:val="003324AB"/>
    <w:rsid w:val="003361AF"/>
    <w:rsid w:val="00340F73"/>
    <w:rsid w:val="003439EC"/>
    <w:rsid w:val="00351CBE"/>
    <w:rsid w:val="0036058D"/>
    <w:rsid w:val="00361396"/>
    <w:rsid w:val="00364946"/>
    <w:rsid w:val="00365D0D"/>
    <w:rsid w:val="00366312"/>
    <w:rsid w:val="00370393"/>
    <w:rsid w:val="003812E2"/>
    <w:rsid w:val="003828DB"/>
    <w:rsid w:val="0038360F"/>
    <w:rsid w:val="00384968"/>
    <w:rsid w:val="00391ABB"/>
    <w:rsid w:val="00394884"/>
    <w:rsid w:val="00394CC8"/>
    <w:rsid w:val="003952B2"/>
    <w:rsid w:val="00395794"/>
    <w:rsid w:val="00395F9B"/>
    <w:rsid w:val="00397F4E"/>
    <w:rsid w:val="003A0B02"/>
    <w:rsid w:val="003A1493"/>
    <w:rsid w:val="003A23DB"/>
    <w:rsid w:val="003A7F7B"/>
    <w:rsid w:val="003B0210"/>
    <w:rsid w:val="003B5319"/>
    <w:rsid w:val="003C0A77"/>
    <w:rsid w:val="003C505C"/>
    <w:rsid w:val="003D2840"/>
    <w:rsid w:val="003D413B"/>
    <w:rsid w:val="003D48C7"/>
    <w:rsid w:val="003D48CC"/>
    <w:rsid w:val="003E27EC"/>
    <w:rsid w:val="003E2C06"/>
    <w:rsid w:val="003F3697"/>
    <w:rsid w:val="003F3F6C"/>
    <w:rsid w:val="003F58DC"/>
    <w:rsid w:val="00400FD7"/>
    <w:rsid w:val="00401C1F"/>
    <w:rsid w:val="004023CE"/>
    <w:rsid w:val="004026E5"/>
    <w:rsid w:val="00406F10"/>
    <w:rsid w:val="004116E0"/>
    <w:rsid w:val="00412553"/>
    <w:rsid w:val="00417BE6"/>
    <w:rsid w:val="0042245C"/>
    <w:rsid w:val="004234E5"/>
    <w:rsid w:val="00423EBA"/>
    <w:rsid w:val="0042467C"/>
    <w:rsid w:val="004265BF"/>
    <w:rsid w:val="00426B9D"/>
    <w:rsid w:val="00426DB1"/>
    <w:rsid w:val="00430D0B"/>
    <w:rsid w:val="00434D4F"/>
    <w:rsid w:val="00436FE6"/>
    <w:rsid w:val="004370C5"/>
    <w:rsid w:val="004401DD"/>
    <w:rsid w:val="004437DB"/>
    <w:rsid w:val="0045062C"/>
    <w:rsid w:val="00451324"/>
    <w:rsid w:val="00453266"/>
    <w:rsid w:val="00461E24"/>
    <w:rsid w:val="00462A09"/>
    <w:rsid w:val="0046362A"/>
    <w:rsid w:val="00464C0E"/>
    <w:rsid w:val="00473208"/>
    <w:rsid w:val="00475D36"/>
    <w:rsid w:val="004762EA"/>
    <w:rsid w:val="004809B4"/>
    <w:rsid w:val="00485D3C"/>
    <w:rsid w:val="004869F4"/>
    <w:rsid w:val="00490DAB"/>
    <w:rsid w:val="00492652"/>
    <w:rsid w:val="00492A04"/>
    <w:rsid w:val="00492CCB"/>
    <w:rsid w:val="004934F6"/>
    <w:rsid w:val="004A30A6"/>
    <w:rsid w:val="004A5F65"/>
    <w:rsid w:val="004A6BC6"/>
    <w:rsid w:val="004A6C96"/>
    <w:rsid w:val="004A7FAE"/>
    <w:rsid w:val="004B0B9F"/>
    <w:rsid w:val="004B0F0B"/>
    <w:rsid w:val="004B222F"/>
    <w:rsid w:val="004B6F9D"/>
    <w:rsid w:val="004B746E"/>
    <w:rsid w:val="004C3CFF"/>
    <w:rsid w:val="004D1167"/>
    <w:rsid w:val="004D1ADD"/>
    <w:rsid w:val="004D23AF"/>
    <w:rsid w:val="004D2ADE"/>
    <w:rsid w:val="004D6774"/>
    <w:rsid w:val="004E091A"/>
    <w:rsid w:val="004E16C3"/>
    <w:rsid w:val="004E1AB3"/>
    <w:rsid w:val="004E7DD9"/>
    <w:rsid w:val="004F01D3"/>
    <w:rsid w:val="004F0E45"/>
    <w:rsid w:val="004F33EC"/>
    <w:rsid w:val="005016FC"/>
    <w:rsid w:val="005025F0"/>
    <w:rsid w:val="0050323E"/>
    <w:rsid w:val="00504D06"/>
    <w:rsid w:val="00505481"/>
    <w:rsid w:val="00506963"/>
    <w:rsid w:val="00512600"/>
    <w:rsid w:val="005165E9"/>
    <w:rsid w:val="00526600"/>
    <w:rsid w:val="00527EDC"/>
    <w:rsid w:val="00530249"/>
    <w:rsid w:val="005309A0"/>
    <w:rsid w:val="00533196"/>
    <w:rsid w:val="00536C3B"/>
    <w:rsid w:val="005410CF"/>
    <w:rsid w:val="00544614"/>
    <w:rsid w:val="00547DD1"/>
    <w:rsid w:val="005501A1"/>
    <w:rsid w:val="00551246"/>
    <w:rsid w:val="005517B1"/>
    <w:rsid w:val="00551CFA"/>
    <w:rsid w:val="005525BB"/>
    <w:rsid w:val="005541A2"/>
    <w:rsid w:val="0055428D"/>
    <w:rsid w:val="00560F79"/>
    <w:rsid w:val="005613D8"/>
    <w:rsid w:val="00564E2F"/>
    <w:rsid w:val="0056646D"/>
    <w:rsid w:val="0056667B"/>
    <w:rsid w:val="0057350A"/>
    <w:rsid w:val="00574106"/>
    <w:rsid w:val="00575BB9"/>
    <w:rsid w:val="005760DD"/>
    <w:rsid w:val="005816A6"/>
    <w:rsid w:val="00586A90"/>
    <w:rsid w:val="005963DC"/>
    <w:rsid w:val="00597E84"/>
    <w:rsid w:val="005A4641"/>
    <w:rsid w:val="005A61D7"/>
    <w:rsid w:val="005A6523"/>
    <w:rsid w:val="005A7ACA"/>
    <w:rsid w:val="005B0D89"/>
    <w:rsid w:val="005B5B0C"/>
    <w:rsid w:val="005C0B94"/>
    <w:rsid w:val="005C1A1C"/>
    <w:rsid w:val="005C4D62"/>
    <w:rsid w:val="005D0989"/>
    <w:rsid w:val="005D0D55"/>
    <w:rsid w:val="005D2969"/>
    <w:rsid w:val="005D4AD6"/>
    <w:rsid w:val="005E326A"/>
    <w:rsid w:val="005E3710"/>
    <w:rsid w:val="005E5477"/>
    <w:rsid w:val="005E66CC"/>
    <w:rsid w:val="005E6EA6"/>
    <w:rsid w:val="005F17C9"/>
    <w:rsid w:val="005F29F5"/>
    <w:rsid w:val="005F2AE1"/>
    <w:rsid w:val="005F2CE3"/>
    <w:rsid w:val="005F3E56"/>
    <w:rsid w:val="005F3F41"/>
    <w:rsid w:val="005F5E76"/>
    <w:rsid w:val="005F6AC9"/>
    <w:rsid w:val="00600500"/>
    <w:rsid w:val="006032B9"/>
    <w:rsid w:val="0060428B"/>
    <w:rsid w:val="00604BA3"/>
    <w:rsid w:val="0060770A"/>
    <w:rsid w:val="00613448"/>
    <w:rsid w:val="006206B9"/>
    <w:rsid w:val="00620917"/>
    <w:rsid w:val="00624C8E"/>
    <w:rsid w:val="00630396"/>
    <w:rsid w:val="00630E46"/>
    <w:rsid w:val="00633F77"/>
    <w:rsid w:val="00634B1C"/>
    <w:rsid w:val="00635052"/>
    <w:rsid w:val="0063684C"/>
    <w:rsid w:val="00637D5F"/>
    <w:rsid w:val="00641BF0"/>
    <w:rsid w:val="00643350"/>
    <w:rsid w:val="006458F2"/>
    <w:rsid w:val="00647EC9"/>
    <w:rsid w:val="00655164"/>
    <w:rsid w:val="006618D7"/>
    <w:rsid w:val="0066596A"/>
    <w:rsid w:val="00672D4A"/>
    <w:rsid w:val="0067393D"/>
    <w:rsid w:val="00686A3D"/>
    <w:rsid w:val="006948EC"/>
    <w:rsid w:val="0069609B"/>
    <w:rsid w:val="006A1496"/>
    <w:rsid w:val="006B2868"/>
    <w:rsid w:val="006B332D"/>
    <w:rsid w:val="006B5260"/>
    <w:rsid w:val="006B6E4F"/>
    <w:rsid w:val="006C41F6"/>
    <w:rsid w:val="006C538B"/>
    <w:rsid w:val="006D04E5"/>
    <w:rsid w:val="006D13B4"/>
    <w:rsid w:val="006D274A"/>
    <w:rsid w:val="006D33F4"/>
    <w:rsid w:val="006D762B"/>
    <w:rsid w:val="006E0557"/>
    <w:rsid w:val="006E10D3"/>
    <w:rsid w:val="006E1CFF"/>
    <w:rsid w:val="006E6F0D"/>
    <w:rsid w:val="006F3280"/>
    <w:rsid w:val="006F3C2D"/>
    <w:rsid w:val="0070064F"/>
    <w:rsid w:val="00702988"/>
    <w:rsid w:val="00703477"/>
    <w:rsid w:val="007034E7"/>
    <w:rsid w:val="007043DE"/>
    <w:rsid w:val="00704703"/>
    <w:rsid w:val="0070575E"/>
    <w:rsid w:val="0070577A"/>
    <w:rsid w:val="00705C25"/>
    <w:rsid w:val="00706C98"/>
    <w:rsid w:val="00707284"/>
    <w:rsid w:val="00710DF7"/>
    <w:rsid w:val="00711C8C"/>
    <w:rsid w:val="00716CD2"/>
    <w:rsid w:val="00716F0F"/>
    <w:rsid w:val="007200AA"/>
    <w:rsid w:val="00721094"/>
    <w:rsid w:val="00721E64"/>
    <w:rsid w:val="00722987"/>
    <w:rsid w:val="007233BF"/>
    <w:rsid w:val="00725E69"/>
    <w:rsid w:val="00731504"/>
    <w:rsid w:val="00744C43"/>
    <w:rsid w:val="00745F29"/>
    <w:rsid w:val="007522EB"/>
    <w:rsid w:val="0075243F"/>
    <w:rsid w:val="007572E2"/>
    <w:rsid w:val="00761F84"/>
    <w:rsid w:val="007703E9"/>
    <w:rsid w:val="00774C22"/>
    <w:rsid w:val="0077578D"/>
    <w:rsid w:val="00776DF1"/>
    <w:rsid w:val="007814FD"/>
    <w:rsid w:val="0078551A"/>
    <w:rsid w:val="00786A6D"/>
    <w:rsid w:val="00790F71"/>
    <w:rsid w:val="00791E53"/>
    <w:rsid w:val="007974A7"/>
    <w:rsid w:val="007A0290"/>
    <w:rsid w:val="007A02C3"/>
    <w:rsid w:val="007A35C6"/>
    <w:rsid w:val="007A38D0"/>
    <w:rsid w:val="007A3F6A"/>
    <w:rsid w:val="007B2A79"/>
    <w:rsid w:val="007B2AC4"/>
    <w:rsid w:val="007B3052"/>
    <w:rsid w:val="007B4BAE"/>
    <w:rsid w:val="007B4DA6"/>
    <w:rsid w:val="007B5E3F"/>
    <w:rsid w:val="007D04D9"/>
    <w:rsid w:val="007D4F33"/>
    <w:rsid w:val="007D7079"/>
    <w:rsid w:val="007E01C0"/>
    <w:rsid w:val="007E10DE"/>
    <w:rsid w:val="007E303F"/>
    <w:rsid w:val="007E44A4"/>
    <w:rsid w:val="007E5CFE"/>
    <w:rsid w:val="007F1F99"/>
    <w:rsid w:val="007F428B"/>
    <w:rsid w:val="007F608F"/>
    <w:rsid w:val="00800692"/>
    <w:rsid w:val="00800A70"/>
    <w:rsid w:val="00802E0A"/>
    <w:rsid w:val="00811CEE"/>
    <w:rsid w:val="008309AD"/>
    <w:rsid w:val="00832CD0"/>
    <w:rsid w:val="0083473D"/>
    <w:rsid w:val="0083537D"/>
    <w:rsid w:val="008361C3"/>
    <w:rsid w:val="008366BC"/>
    <w:rsid w:val="008400E6"/>
    <w:rsid w:val="00840108"/>
    <w:rsid w:val="0084141D"/>
    <w:rsid w:val="0084179F"/>
    <w:rsid w:val="008431B7"/>
    <w:rsid w:val="0084379C"/>
    <w:rsid w:val="0084463B"/>
    <w:rsid w:val="00844D0C"/>
    <w:rsid w:val="00850900"/>
    <w:rsid w:val="008520D2"/>
    <w:rsid w:val="00852DF8"/>
    <w:rsid w:val="00853ACF"/>
    <w:rsid w:val="00856A8B"/>
    <w:rsid w:val="00857B26"/>
    <w:rsid w:val="00866DD7"/>
    <w:rsid w:val="00867B64"/>
    <w:rsid w:val="00871B41"/>
    <w:rsid w:val="0087388F"/>
    <w:rsid w:val="008762AA"/>
    <w:rsid w:val="0088389E"/>
    <w:rsid w:val="00885A46"/>
    <w:rsid w:val="0089243A"/>
    <w:rsid w:val="008935BE"/>
    <w:rsid w:val="008A12A7"/>
    <w:rsid w:val="008A2109"/>
    <w:rsid w:val="008A3456"/>
    <w:rsid w:val="008A3EF9"/>
    <w:rsid w:val="008A5C2C"/>
    <w:rsid w:val="008A70AE"/>
    <w:rsid w:val="008B1CE5"/>
    <w:rsid w:val="008B2626"/>
    <w:rsid w:val="008B572F"/>
    <w:rsid w:val="008B7E7E"/>
    <w:rsid w:val="008C0917"/>
    <w:rsid w:val="008C28F0"/>
    <w:rsid w:val="008D3D0D"/>
    <w:rsid w:val="008D45D5"/>
    <w:rsid w:val="008D4E3C"/>
    <w:rsid w:val="008D5846"/>
    <w:rsid w:val="008D64BA"/>
    <w:rsid w:val="008D6709"/>
    <w:rsid w:val="008E38EE"/>
    <w:rsid w:val="008E6198"/>
    <w:rsid w:val="008E6A5B"/>
    <w:rsid w:val="008E7056"/>
    <w:rsid w:val="008F1368"/>
    <w:rsid w:val="008F7324"/>
    <w:rsid w:val="00900AE2"/>
    <w:rsid w:val="00910F8E"/>
    <w:rsid w:val="00912ED0"/>
    <w:rsid w:val="009149BC"/>
    <w:rsid w:val="00921033"/>
    <w:rsid w:val="009255A1"/>
    <w:rsid w:val="009267DC"/>
    <w:rsid w:val="00931B98"/>
    <w:rsid w:val="00936C4B"/>
    <w:rsid w:val="0094323F"/>
    <w:rsid w:val="00944A96"/>
    <w:rsid w:val="00944D40"/>
    <w:rsid w:val="009450D3"/>
    <w:rsid w:val="00945CD0"/>
    <w:rsid w:val="00946640"/>
    <w:rsid w:val="00947DF7"/>
    <w:rsid w:val="009521CA"/>
    <w:rsid w:val="009562F2"/>
    <w:rsid w:val="00956ECB"/>
    <w:rsid w:val="0096320F"/>
    <w:rsid w:val="009636C4"/>
    <w:rsid w:val="00966841"/>
    <w:rsid w:val="0097357C"/>
    <w:rsid w:val="009810ED"/>
    <w:rsid w:val="00981633"/>
    <w:rsid w:val="0098279F"/>
    <w:rsid w:val="009856BF"/>
    <w:rsid w:val="009863A8"/>
    <w:rsid w:val="009900CA"/>
    <w:rsid w:val="00990298"/>
    <w:rsid w:val="00993A3D"/>
    <w:rsid w:val="00995B1E"/>
    <w:rsid w:val="00996981"/>
    <w:rsid w:val="009977EA"/>
    <w:rsid w:val="00997F16"/>
    <w:rsid w:val="009A1686"/>
    <w:rsid w:val="009A4681"/>
    <w:rsid w:val="009A7D4C"/>
    <w:rsid w:val="009B166C"/>
    <w:rsid w:val="009B4554"/>
    <w:rsid w:val="009B4AAB"/>
    <w:rsid w:val="009B6197"/>
    <w:rsid w:val="009B6814"/>
    <w:rsid w:val="009C0616"/>
    <w:rsid w:val="009C1DD6"/>
    <w:rsid w:val="009C3327"/>
    <w:rsid w:val="009C5A72"/>
    <w:rsid w:val="009C6601"/>
    <w:rsid w:val="009D1484"/>
    <w:rsid w:val="009D4F07"/>
    <w:rsid w:val="009D5317"/>
    <w:rsid w:val="009E058C"/>
    <w:rsid w:val="009E05C3"/>
    <w:rsid w:val="009E2D7D"/>
    <w:rsid w:val="009E41E9"/>
    <w:rsid w:val="009E79F9"/>
    <w:rsid w:val="009E7C60"/>
    <w:rsid w:val="009F02D4"/>
    <w:rsid w:val="009F40EA"/>
    <w:rsid w:val="009F494D"/>
    <w:rsid w:val="00A01D3C"/>
    <w:rsid w:val="00A04D01"/>
    <w:rsid w:val="00A04FFB"/>
    <w:rsid w:val="00A0722A"/>
    <w:rsid w:val="00A17005"/>
    <w:rsid w:val="00A31065"/>
    <w:rsid w:val="00A317C9"/>
    <w:rsid w:val="00A3434F"/>
    <w:rsid w:val="00A34448"/>
    <w:rsid w:val="00A34FBC"/>
    <w:rsid w:val="00A36EB4"/>
    <w:rsid w:val="00A41290"/>
    <w:rsid w:val="00A43DE6"/>
    <w:rsid w:val="00A46087"/>
    <w:rsid w:val="00A478FE"/>
    <w:rsid w:val="00A603E3"/>
    <w:rsid w:val="00A62D7B"/>
    <w:rsid w:val="00A72D40"/>
    <w:rsid w:val="00A738B1"/>
    <w:rsid w:val="00A73A58"/>
    <w:rsid w:val="00A74190"/>
    <w:rsid w:val="00A75B17"/>
    <w:rsid w:val="00A76EBA"/>
    <w:rsid w:val="00A76F5D"/>
    <w:rsid w:val="00A7736E"/>
    <w:rsid w:val="00A81402"/>
    <w:rsid w:val="00A8229A"/>
    <w:rsid w:val="00A83B91"/>
    <w:rsid w:val="00A8783B"/>
    <w:rsid w:val="00A9002E"/>
    <w:rsid w:val="00AA177A"/>
    <w:rsid w:val="00AA2C11"/>
    <w:rsid w:val="00AA482E"/>
    <w:rsid w:val="00AA69E0"/>
    <w:rsid w:val="00AB0EE6"/>
    <w:rsid w:val="00AB2FED"/>
    <w:rsid w:val="00AB4D45"/>
    <w:rsid w:val="00AB66F4"/>
    <w:rsid w:val="00AD076E"/>
    <w:rsid w:val="00AD28F7"/>
    <w:rsid w:val="00AD4607"/>
    <w:rsid w:val="00AD602E"/>
    <w:rsid w:val="00AD6E1E"/>
    <w:rsid w:val="00AE01B1"/>
    <w:rsid w:val="00AE07F6"/>
    <w:rsid w:val="00AE0ED6"/>
    <w:rsid w:val="00AE17E0"/>
    <w:rsid w:val="00AF154C"/>
    <w:rsid w:val="00AF4254"/>
    <w:rsid w:val="00AF67C9"/>
    <w:rsid w:val="00AF67F6"/>
    <w:rsid w:val="00AF736A"/>
    <w:rsid w:val="00B020A2"/>
    <w:rsid w:val="00B02905"/>
    <w:rsid w:val="00B0387E"/>
    <w:rsid w:val="00B059DB"/>
    <w:rsid w:val="00B062CC"/>
    <w:rsid w:val="00B065C5"/>
    <w:rsid w:val="00B11CA8"/>
    <w:rsid w:val="00B20164"/>
    <w:rsid w:val="00B240DB"/>
    <w:rsid w:val="00B3023D"/>
    <w:rsid w:val="00B3524D"/>
    <w:rsid w:val="00B36FAB"/>
    <w:rsid w:val="00B407BC"/>
    <w:rsid w:val="00B430A3"/>
    <w:rsid w:val="00B43B47"/>
    <w:rsid w:val="00B449C7"/>
    <w:rsid w:val="00B450B1"/>
    <w:rsid w:val="00B45CDD"/>
    <w:rsid w:val="00B45E3A"/>
    <w:rsid w:val="00B47742"/>
    <w:rsid w:val="00B5104A"/>
    <w:rsid w:val="00B552C5"/>
    <w:rsid w:val="00B57673"/>
    <w:rsid w:val="00B5775C"/>
    <w:rsid w:val="00B604F3"/>
    <w:rsid w:val="00B72791"/>
    <w:rsid w:val="00B81FFB"/>
    <w:rsid w:val="00B82845"/>
    <w:rsid w:val="00B8661A"/>
    <w:rsid w:val="00B93F0F"/>
    <w:rsid w:val="00B951A8"/>
    <w:rsid w:val="00B95D39"/>
    <w:rsid w:val="00BA0CA6"/>
    <w:rsid w:val="00BA3E07"/>
    <w:rsid w:val="00BA7387"/>
    <w:rsid w:val="00BA7921"/>
    <w:rsid w:val="00BB1B2C"/>
    <w:rsid w:val="00BB6B09"/>
    <w:rsid w:val="00BC141C"/>
    <w:rsid w:val="00BC1A65"/>
    <w:rsid w:val="00BC52F6"/>
    <w:rsid w:val="00BC7527"/>
    <w:rsid w:val="00BD1239"/>
    <w:rsid w:val="00BD1377"/>
    <w:rsid w:val="00BD1F2C"/>
    <w:rsid w:val="00BD2BB1"/>
    <w:rsid w:val="00BD47DA"/>
    <w:rsid w:val="00BD5F75"/>
    <w:rsid w:val="00BE1910"/>
    <w:rsid w:val="00BE5783"/>
    <w:rsid w:val="00BF3357"/>
    <w:rsid w:val="00BF5B20"/>
    <w:rsid w:val="00BF69FD"/>
    <w:rsid w:val="00C0186F"/>
    <w:rsid w:val="00C1174E"/>
    <w:rsid w:val="00C13B56"/>
    <w:rsid w:val="00C165E8"/>
    <w:rsid w:val="00C236CE"/>
    <w:rsid w:val="00C25CAE"/>
    <w:rsid w:val="00C27A12"/>
    <w:rsid w:val="00C30E31"/>
    <w:rsid w:val="00C30EEB"/>
    <w:rsid w:val="00C3360E"/>
    <w:rsid w:val="00C37320"/>
    <w:rsid w:val="00C418A1"/>
    <w:rsid w:val="00C42857"/>
    <w:rsid w:val="00C476D9"/>
    <w:rsid w:val="00C477C0"/>
    <w:rsid w:val="00C51A01"/>
    <w:rsid w:val="00C5443A"/>
    <w:rsid w:val="00C56685"/>
    <w:rsid w:val="00C61067"/>
    <w:rsid w:val="00C657E9"/>
    <w:rsid w:val="00C675CE"/>
    <w:rsid w:val="00C67662"/>
    <w:rsid w:val="00C7590E"/>
    <w:rsid w:val="00C77385"/>
    <w:rsid w:val="00C8205A"/>
    <w:rsid w:val="00C8367D"/>
    <w:rsid w:val="00C856B8"/>
    <w:rsid w:val="00C8708A"/>
    <w:rsid w:val="00C90161"/>
    <w:rsid w:val="00C94467"/>
    <w:rsid w:val="00CA0B12"/>
    <w:rsid w:val="00CB1D27"/>
    <w:rsid w:val="00CB21E3"/>
    <w:rsid w:val="00CB4C6C"/>
    <w:rsid w:val="00CB53E5"/>
    <w:rsid w:val="00CB7603"/>
    <w:rsid w:val="00CC08B7"/>
    <w:rsid w:val="00CC0F3D"/>
    <w:rsid w:val="00CC339C"/>
    <w:rsid w:val="00CC48E9"/>
    <w:rsid w:val="00CD29FD"/>
    <w:rsid w:val="00CD353A"/>
    <w:rsid w:val="00CD6DA8"/>
    <w:rsid w:val="00CD77F0"/>
    <w:rsid w:val="00CD780C"/>
    <w:rsid w:val="00CE1AE3"/>
    <w:rsid w:val="00CE2262"/>
    <w:rsid w:val="00CE57B5"/>
    <w:rsid w:val="00CE5C26"/>
    <w:rsid w:val="00CE6891"/>
    <w:rsid w:val="00CE6A00"/>
    <w:rsid w:val="00CF25D9"/>
    <w:rsid w:val="00CF5C48"/>
    <w:rsid w:val="00CF6362"/>
    <w:rsid w:val="00CF69BA"/>
    <w:rsid w:val="00CF6D47"/>
    <w:rsid w:val="00D1423A"/>
    <w:rsid w:val="00D15ADB"/>
    <w:rsid w:val="00D172C8"/>
    <w:rsid w:val="00D20C4D"/>
    <w:rsid w:val="00D23849"/>
    <w:rsid w:val="00D27381"/>
    <w:rsid w:val="00D30173"/>
    <w:rsid w:val="00D324C2"/>
    <w:rsid w:val="00D32A6F"/>
    <w:rsid w:val="00D33AFE"/>
    <w:rsid w:val="00D33F05"/>
    <w:rsid w:val="00D367D3"/>
    <w:rsid w:val="00D36934"/>
    <w:rsid w:val="00D40BE9"/>
    <w:rsid w:val="00D43372"/>
    <w:rsid w:val="00D43625"/>
    <w:rsid w:val="00D46327"/>
    <w:rsid w:val="00D46B0C"/>
    <w:rsid w:val="00D46B73"/>
    <w:rsid w:val="00D46F00"/>
    <w:rsid w:val="00D502F9"/>
    <w:rsid w:val="00D50EBE"/>
    <w:rsid w:val="00D525FC"/>
    <w:rsid w:val="00D52621"/>
    <w:rsid w:val="00D53416"/>
    <w:rsid w:val="00D544D7"/>
    <w:rsid w:val="00D54692"/>
    <w:rsid w:val="00D55CF6"/>
    <w:rsid w:val="00D56AFB"/>
    <w:rsid w:val="00D57E44"/>
    <w:rsid w:val="00D64ED7"/>
    <w:rsid w:val="00D71E9B"/>
    <w:rsid w:val="00D7281F"/>
    <w:rsid w:val="00D728C6"/>
    <w:rsid w:val="00D75520"/>
    <w:rsid w:val="00D76A1A"/>
    <w:rsid w:val="00D81D81"/>
    <w:rsid w:val="00D83F8C"/>
    <w:rsid w:val="00D84519"/>
    <w:rsid w:val="00D916AF"/>
    <w:rsid w:val="00D94AB9"/>
    <w:rsid w:val="00DA34D1"/>
    <w:rsid w:val="00DA5A15"/>
    <w:rsid w:val="00DA75A4"/>
    <w:rsid w:val="00DB2E3F"/>
    <w:rsid w:val="00DB54B2"/>
    <w:rsid w:val="00DB7D3B"/>
    <w:rsid w:val="00DC416D"/>
    <w:rsid w:val="00DD04C8"/>
    <w:rsid w:val="00DD46CD"/>
    <w:rsid w:val="00DE0BA9"/>
    <w:rsid w:val="00DE2D34"/>
    <w:rsid w:val="00DF039E"/>
    <w:rsid w:val="00DF1BC5"/>
    <w:rsid w:val="00DF28C6"/>
    <w:rsid w:val="00DF649B"/>
    <w:rsid w:val="00E00D72"/>
    <w:rsid w:val="00E015B2"/>
    <w:rsid w:val="00E0408E"/>
    <w:rsid w:val="00E106EC"/>
    <w:rsid w:val="00E15B17"/>
    <w:rsid w:val="00E17673"/>
    <w:rsid w:val="00E2425D"/>
    <w:rsid w:val="00E243E6"/>
    <w:rsid w:val="00E24931"/>
    <w:rsid w:val="00E24D36"/>
    <w:rsid w:val="00E26804"/>
    <w:rsid w:val="00E2739D"/>
    <w:rsid w:val="00E27BE6"/>
    <w:rsid w:val="00E31017"/>
    <w:rsid w:val="00E3216D"/>
    <w:rsid w:val="00E32D63"/>
    <w:rsid w:val="00E35498"/>
    <w:rsid w:val="00E400B1"/>
    <w:rsid w:val="00E44AAF"/>
    <w:rsid w:val="00E46032"/>
    <w:rsid w:val="00E52189"/>
    <w:rsid w:val="00E54274"/>
    <w:rsid w:val="00E63545"/>
    <w:rsid w:val="00E66637"/>
    <w:rsid w:val="00E7135C"/>
    <w:rsid w:val="00E75D47"/>
    <w:rsid w:val="00E80D64"/>
    <w:rsid w:val="00E80F9E"/>
    <w:rsid w:val="00E811CC"/>
    <w:rsid w:val="00E82E27"/>
    <w:rsid w:val="00E86A94"/>
    <w:rsid w:val="00E86B31"/>
    <w:rsid w:val="00E925D1"/>
    <w:rsid w:val="00E92825"/>
    <w:rsid w:val="00E96508"/>
    <w:rsid w:val="00E97A05"/>
    <w:rsid w:val="00EA098B"/>
    <w:rsid w:val="00EA2B75"/>
    <w:rsid w:val="00EB00E4"/>
    <w:rsid w:val="00EB4131"/>
    <w:rsid w:val="00EB764E"/>
    <w:rsid w:val="00EC1194"/>
    <w:rsid w:val="00EC1F60"/>
    <w:rsid w:val="00EC53A8"/>
    <w:rsid w:val="00EC5931"/>
    <w:rsid w:val="00ED3626"/>
    <w:rsid w:val="00ED36FE"/>
    <w:rsid w:val="00EE228E"/>
    <w:rsid w:val="00EF03FA"/>
    <w:rsid w:val="00EF2412"/>
    <w:rsid w:val="00EF6F1E"/>
    <w:rsid w:val="00F0184E"/>
    <w:rsid w:val="00F02277"/>
    <w:rsid w:val="00F027A7"/>
    <w:rsid w:val="00F02DC4"/>
    <w:rsid w:val="00F05B29"/>
    <w:rsid w:val="00F07076"/>
    <w:rsid w:val="00F070B9"/>
    <w:rsid w:val="00F11A8A"/>
    <w:rsid w:val="00F13583"/>
    <w:rsid w:val="00F20729"/>
    <w:rsid w:val="00F260BC"/>
    <w:rsid w:val="00F26AF9"/>
    <w:rsid w:val="00F31A88"/>
    <w:rsid w:val="00F36807"/>
    <w:rsid w:val="00F429D0"/>
    <w:rsid w:val="00F434A4"/>
    <w:rsid w:val="00F43ACC"/>
    <w:rsid w:val="00F5062A"/>
    <w:rsid w:val="00F517D2"/>
    <w:rsid w:val="00F53918"/>
    <w:rsid w:val="00F5434C"/>
    <w:rsid w:val="00F553CF"/>
    <w:rsid w:val="00F560E0"/>
    <w:rsid w:val="00F5728E"/>
    <w:rsid w:val="00F63B65"/>
    <w:rsid w:val="00F64550"/>
    <w:rsid w:val="00F667E3"/>
    <w:rsid w:val="00F70D15"/>
    <w:rsid w:val="00F73372"/>
    <w:rsid w:val="00F74D63"/>
    <w:rsid w:val="00F8556D"/>
    <w:rsid w:val="00F85B91"/>
    <w:rsid w:val="00F933E6"/>
    <w:rsid w:val="00FA0079"/>
    <w:rsid w:val="00FA0BA1"/>
    <w:rsid w:val="00FA22E9"/>
    <w:rsid w:val="00FA23D6"/>
    <w:rsid w:val="00FA2641"/>
    <w:rsid w:val="00FA5EEE"/>
    <w:rsid w:val="00FA7DA5"/>
    <w:rsid w:val="00FB3C9C"/>
    <w:rsid w:val="00FB42CE"/>
    <w:rsid w:val="00FB4DBF"/>
    <w:rsid w:val="00FB59BD"/>
    <w:rsid w:val="00FB66EA"/>
    <w:rsid w:val="00FB7353"/>
    <w:rsid w:val="00FC090D"/>
    <w:rsid w:val="00FC199A"/>
    <w:rsid w:val="00FC3DFE"/>
    <w:rsid w:val="00FC464B"/>
    <w:rsid w:val="00FC4DC3"/>
    <w:rsid w:val="00FD0471"/>
    <w:rsid w:val="00FD0BA1"/>
    <w:rsid w:val="00FD107E"/>
    <w:rsid w:val="00FD17D9"/>
    <w:rsid w:val="00FD30AA"/>
    <w:rsid w:val="00FD4642"/>
    <w:rsid w:val="00FD5F15"/>
    <w:rsid w:val="00FD7714"/>
    <w:rsid w:val="00FD78C8"/>
    <w:rsid w:val="00FE6300"/>
    <w:rsid w:val="00FE7120"/>
    <w:rsid w:val="00FF05E9"/>
    <w:rsid w:val="00FF1F4A"/>
    <w:rsid w:val="00FF28F7"/>
    <w:rsid w:val="00FF4DE8"/>
    <w:rsid w:val="00FF5580"/>
    <w:rsid w:val="00FF7D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8F1E9"/>
  <w15:chartTrackingRefBased/>
  <w15:docId w15:val="{E42BE2CA-C11B-40E8-8A94-D6FB08514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062C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062C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062C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062C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062C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062C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062C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062C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062C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62C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062C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062C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062C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062C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062C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062C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062C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062CC"/>
    <w:rPr>
      <w:rFonts w:eastAsiaTheme="majorEastAsia" w:cstheme="majorBidi"/>
      <w:color w:val="272727" w:themeColor="text1" w:themeTint="D8"/>
    </w:rPr>
  </w:style>
  <w:style w:type="paragraph" w:styleId="Title">
    <w:name w:val="Title"/>
    <w:basedOn w:val="Normal"/>
    <w:next w:val="Normal"/>
    <w:link w:val="TitleChar"/>
    <w:uiPriority w:val="10"/>
    <w:qFormat/>
    <w:rsid w:val="00B062C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062C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062C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062C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062CC"/>
    <w:pPr>
      <w:spacing w:before="160"/>
      <w:jc w:val="center"/>
    </w:pPr>
    <w:rPr>
      <w:i/>
      <w:iCs/>
      <w:color w:val="404040" w:themeColor="text1" w:themeTint="BF"/>
    </w:rPr>
  </w:style>
  <w:style w:type="character" w:customStyle="1" w:styleId="QuoteChar">
    <w:name w:val="Quote Char"/>
    <w:basedOn w:val="DefaultParagraphFont"/>
    <w:link w:val="Quote"/>
    <w:uiPriority w:val="29"/>
    <w:rsid w:val="00B062CC"/>
    <w:rPr>
      <w:i/>
      <w:iCs/>
      <w:color w:val="404040" w:themeColor="text1" w:themeTint="BF"/>
    </w:rPr>
  </w:style>
  <w:style w:type="paragraph" w:styleId="ListParagraph">
    <w:name w:val="List Paragraph"/>
    <w:basedOn w:val="Normal"/>
    <w:uiPriority w:val="34"/>
    <w:qFormat/>
    <w:rsid w:val="00B062CC"/>
    <w:pPr>
      <w:ind w:left="720"/>
      <w:contextualSpacing/>
    </w:pPr>
  </w:style>
  <w:style w:type="character" w:styleId="IntenseEmphasis">
    <w:name w:val="Intense Emphasis"/>
    <w:basedOn w:val="DefaultParagraphFont"/>
    <w:uiPriority w:val="21"/>
    <w:qFormat/>
    <w:rsid w:val="00B062CC"/>
    <w:rPr>
      <w:i/>
      <w:iCs/>
      <w:color w:val="0F4761" w:themeColor="accent1" w:themeShade="BF"/>
    </w:rPr>
  </w:style>
  <w:style w:type="paragraph" w:styleId="IntenseQuote">
    <w:name w:val="Intense Quote"/>
    <w:basedOn w:val="Normal"/>
    <w:next w:val="Normal"/>
    <w:link w:val="IntenseQuoteChar"/>
    <w:uiPriority w:val="30"/>
    <w:qFormat/>
    <w:rsid w:val="00B062C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062CC"/>
    <w:rPr>
      <w:i/>
      <w:iCs/>
      <w:color w:val="0F4761" w:themeColor="accent1" w:themeShade="BF"/>
    </w:rPr>
  </w:style>
  <w:style w:type="character" w:styleId="IntenseReference">
    <w:name w:val="Intense Reference"/>
    <w:basedOn w:val="DefaultParagraphFont"/>
    <w:uiPriority w:val="32"/>
    <w:qFormat/>
    <w:rsid w:val="00B062CC"/>
    <w:rPr>
      <w:b/>
      <w:bCs/>
      <w:smallCaps/>
      <w:color w:val="0F4761" w:themeColor="accent1" w:themeShade="BF"/>
      <w:spacing w:val="5"/>
    </w:rPr>
  </w:style>
  <w:style w:type="character" w:styleId="Hyperlink">
    <w:name w:val="Hyperlink"/>
    <w:basedOn w:val="DefaultParagraphFont"/>
    <w:uiPriority w:val="99"/>
    <w:unhideWhenUsed/>
    <w:rsid w:val="00F517D2"/>
    <w:rPr>
      <w:color w:val="467886" w:themeColor="hyperlink"/>
      <w:u w:val="single"/>
    </w:rPr>
  </w:style>
  <w:style w:type="character" w:styleId="UnresolvedMention">
    <w:name w:val="Unresolved Mention"/>
    <w:basedOn w:val="DefaultParagraphFont"/>
    <w:uiPriority w:val="99"/>
    <w:semiHidden/>
    <w:unhideWhenUsed/>
    <w:rsid w:val="00F517D2"/>
    <w:rPr>
      <w:color w:val="605E5C"/>
      <w:shd w:val="clear" w:color="auto" w:fill="E1DFDD"/>
    </w:rPr>
  </w:style>
  <w:style w:type="table" w:styleId="TableGrid">
    <w:name w:val="Table Grid"/>
    <w:basedOn w:val="TableNormal"/>
    <w:uiPriority w:val="39"/>
    <w:rsid w:val="005266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603725">
      <w:bodyDiv w:val="1"/>
      <w:marLeft w:val="0"/>
      <w:marRight w:val="0"/>
      <w:marTop w:val="0"/>
      <w:marBottom w:val="0"/>
      <w:divBdr>
        <w:top w:val="none" w:sz="0" w:space="0" w:color="auto"/>
        <w:left w:val="none" w:sz="0" w:space="0" w:color="auto"/>
        <w:bottom w:val="none" w:sz="0" w:space="0" w:color="auto"/>
        <w:right w:val="none" w:sz="0" w:space="0" w:color="auto"/>
      </w:divBdr>
    </w:div>
    <w:div w:id="299581621">
      <w:bodyDiv w:val="1"/>
      <w:marLeft w:val="0"/>
      <w:marRight w:val="0"/>
      <w:marTop w:val="0"/>
      <w:marBottom w:val="0"/>
      <w:divBdr>
        <w:top w:val="none" w:sz="0" w:space="0" w:color="auto"/>
        <w:left w:val="none" w:sz="0" w:space="0" w:color="auto"/>
        <w:bottom w:val="none" w:sz="0" w:space="0" w:color="auto"/>
        <w:right w:val="none" w:sz="0" w:space="0" w:color="auto"/>
      </w:divBdr>
    </w:div>
    <w:div w:id="472335897">
      <w:bodyDiv w:val="1"/>
      <w:marLeft w:val="0"/>
      <w:marRight w:val="0"/>
      <w:marTop w:val="0"/>
      <w:marBottom w:val="0"/>
      <w:divBdr>
        <w:top w:val="none" w:sz="0" w:space="0" w:color="auto"/>
        <w:left w:val="none" w:sz="0" w:space="0" w:color="auto"/>
        <w:bottom w:val="none" w:sz="0" w:space="0" w:color="auto"/>
        <w:right w:val="none" w:sz="0" w:space="0" w:color="auto"/>
      </w:divBdr>
      <w:divsChild>
        <w:div w:id="789664585">
          <w:marLeft w:val="360"/>
          <w:marRight w:val="0"/>
          <w:marTop w:val="200"/>
          <w:marBottom w:val="0"/>
          <w:divBdr>
            <w:top w:val="none" w:sz="0" w:space="0" w:color="auto"/>
            <w:left w:val="none" w:sz="0" w:space="0" w:color="auto"/>
            <w:bottom w:val="none" w:sz="0" w:space="0" w:color="auto"/>
            <w:right w:val="none" w:sz="0" w:space="0" w:color="auto"/>
          </w:divBdr>
        </w:div>
        <w:div w:id="43527086">
          <w:marLeft w:val="1080"/>
          <w:marRight w:val="0"/>
          <w:marTop w:val="100"/>
          <w:marBottom w:val="0"/>
          <w:divBdr>
            <w:top w:val="none" w:sz="0" w:space="0" w:color="auto"/>
            <w:left w:val="none" w:sz="0" w:space="0" w:color="auto"/>
            <w:bottom w:val="none" w:sz="0" w:space="0" w:color="auto"/>
            <w:right w:val="none" w:sz="0" w:space="0" w:color="auto"/>
          </w:divBdr>
        </w:div>
        <w:div w:id="488786389">
          <w:marLeft w:val="1080"/>
          <w:marRight w:val="0"/>
          <w:marTop w:val="100"/>
          <w:marBottom w:val="0"/>
          <w:divBdr>
            <w:top w:val="none" w:sz="0" w:space="0" w:color="auto"/>
            <w:left w:val="none" w:sz="0" w:space="0" w:color="auto"/>
            <w:bottom w:val="none" w:sz="0" w:space="0" w:color="auto"/>
            <w:right w:val="none" w:sz="0" w:space="0" w:color="auto"/>
          </w:divBdr>
        </w:div>
      </w:divsChild>
    </w:div>
    <w:div w:id="844979393">
      <w:bodyDiv w:val="1"/>
      <w:marLeft w:val="0"/>
      <w:marRight w:val="0"/>
      <w:marTop w:val="0"/>
      <w:marBottom w:val="0"/>
      <w:divBdr>
        <w:top w:val="none" w:sz="0" w:space="0" w:color="auto"/>
        <w:left w:val="none" w:sz="0" w:space="0" w:color="auto"/>
        <w:bottom w:val="none" w:sz="0" w:space="0" w:color="auto"/>
        <w:right w:val="none" w:sz="0" w:space="0" w:color="auto"/>
      </w:divBdr>
      <w:divsChild>
        <w:div w:id="1813013145">
          <w:marLeft w:val="360"/>
          <w:marRight w:val="0"/>
          <w:marTop w:val="200"/>
          <w:marBottom w:val="0"/>
          <w:divBdr>
            <w:top w:val="none" w:sz="0" w:space="0" w:color="auto"/>
            <w:left w:val="none" w:sz="0" w:space="0" w:color="auto"/>
            <w:bottom w:val="none" w:sz="0" w:space="0" w:color="auto"/>
            <w:right w:val="none" w:sz="0" w:space="0" w:color="auto"/>
          </w:divBdr>
        </w:div>
      </w:divsChild>
    </w:div>
    <w:div w:id="1472331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doi.org/10.1007/s11136-023-03574-z"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hyperlink" Target="https://doi.org/10.1007/978-1-4757-2691-6_25"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oi.org/10.1007/s00520-020-05801-6"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hyperlink" Target="https://www.healthmeasures.net/score-and-interpret/interpret-scores/promis/reference-populations" TargetMode="Externa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yperlink" Target="https://doi.org/10.1186/s41687-019-0127-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911506-4DC6-4A1F-8FF6-F9CBE4ECF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5596</Words>
  <Characters>31903</Characters>
  <Application>Microsoft Office Word</Application>
  <DocSecurity>0</DocSecurity>
  <Lines>265</Lines>
  <Paragraphs>74</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
      <vt:lpstr>        Introduction</vt:lpstr>
      <vt:lpstr>        Conceptual Challenges in Measurement</vt:lpstr>
      <vt:lpstr>        A Latent Variable Model for Unipolar Constructs</vt:lpstr>
      <vt:lpstr>        Application of the Poset IRT Model</vt:lpstr>
      <vt:lpstr>        Empirical Study: Application to Depression Data</vt:lpstr>
      <vt:lpstr>        Results</vt:lpstr>
      <vt:lpstr>        Discussion and Conclusion</vt:lpstr>
    </vt:vector>
  </TitlesOfParts>
  <Company/>
  <LinksUpToDate>false</LinksUpToDate>
  <CharactersWithSpaces>37425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 Ip</dc:creator>
  <cp:keywords/>
  <dc:description/>
  <cp:lastModifiedBy>Edward Ip</cp:lastModifiedBy>
  <cp:revision>2</cp:revision>
  <cp:lastPrinted>2025-04-01T03:11:00Z</cp:lastPrinted>
  <dcterms:created xsi:type="dcterms:W3CDTF">2025-04-01T14:43:00Z</dcterms:created>
  <dcterms:modified xsi:type="dcterms:W3CDTF">2025-04-01T14:43:00Z</dcterms:modified>
</cp:coreProperties>
</file>