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UI/images/removespace.png" ContentType="image/.png"/>
  <Override PartName="/customUI/images/FigCaption.png" ContentType="image/.png"/>
  <Override PartName="/customUI/images/papertitle.png" ContentType="image/.png"/>
  <Override PartName="/customUI/images/ORCID.png" ContentType="image/.png"/>
  <Override PartName="/customUI/images/bulletitem.png" ContentType="image/.png"/>
  <Override PartName="/customUI/images/arrowleft.png" ContentType="image/.png"/>
  <Override PartName="/customUI/images/addspace.png" ContentType="image/.png"/>
  <Override PartName="/customUI/images/togglenumbering.png" ContentType="image/.png"/>
  <Override PartName="/customUI/images/referenceitem.png" ContentType="image/.png"/>
  <Override PartName="/customUI/images/eqnumber.png" ContentType="image/.png"/>
  <Override PartName="/customUI/images/normalspace.png" ContentType="image/.png"/>
  <Override PartName="/customUI/images/RedoStyles.png" ContentType="image/.png"/>
  <Override PartName="/customUI/images/arrowright.png" ContentType="image/.png"/>
  <Override PartName="/customUI/images/abstract.png" ContentType="image/.png"/>
  <Override PartName="/customUI/images/TabCaption.png" ContentType="image/.png"/>
  <Override PartName="/customUI/images/equation.png" ContentType="image/.png"/>
  <Override PartName="/customUI/images/normal.png" ContentType="image/.png"/>
  <Override PartName="/customUI/images/squeeze.png" ContentType="image/.png"/>
  <Override PartName="/customUI/images/InsertImage.png" ContentType="image/.png"/>
  <Override PartName="/customUI/images/expand.png" ContentType="image/.png"/>
  <Override PartName="/customUI/images/numitem.png" ContentType="image/.png"/>
  <Override PartName="/customUI/images/subtitle.png" ContentType="image/.png"/>
  <Override PartName="/customUI/images/dashitem.png" ContentType="image/.png"/>
  <Override PartName="/customUI/images/address.png" ContentType="image/.png"/>
  <Override PartName="/customUI/images/HeaderFooter.png" ContentType="image/.png"/>
  <Override PartName="/customUI/images/author.png" ContentType="image/.png"/>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79f3368820ff455b" Type="http://schemas.microsoft.com/office/2007/relationships/ui/extensibility" Target="customUI/customUI14.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A73623" w14:textId="4C65AE50" w:rsidR="00835D9B" w:rsidRPr="00835D9B" w:rsidRDefault="00970C7B" w:rsidP="00835D9B">
      <w:pPr>
        <w:pStyle w:val="papertitle"/>
      </w:pPr>
      <w:r w:rsidRPr="00970C7B">
        <w:t>XBoundNet++: Uncertainty-Aware Segmentation of</w:t>
      </w:r>
      <w:r w:rsidR="00397938">
        <w:t xml:space="preserve"> </w:t>
      </w:r>
      <w:r w:rsidRPr="00970C7B">
        <w:t>Ki</w:t>
      </w:r>
      <w:r w:rsidR="007B5031">
        <w:t>d</w:t>
      </w:r>
      <w:r w:rsidRPr="00970C7B">
        <w:t>ney Ablation Zone</w:t>
      </w:r>
      <w:r w:rsidR="00397938">
        <w:t>s</w:t>
      </w:r>
    </w:p>
    <w:p w14:paraId="26F8003F" w14:textId="6C50B36C" w:rsidR="00A722D7" w:rsidRPr="00E91084" w:rsidRDefault="00F751F0" w:rsidP="00A722D7">
      <w:pPr>
        <w:pStyle w:val="author"/>
      </w:pPr>
      <w:r>
        <w:t>Oren Arbel-Wood</w:t>
      </w:r>
      <w:r w:rsidR="00A722D7" w:rsidRPr="00E15C7A">
        <w:rPr>
          <w:vertAlign w:val="superscript"/>
        </w:rPr>
        <w:t>1</w:t>
      </w:r>
      <w:r w:rsidR="00E91084">
        <w:t xml:space="preserve">, </w:t>
      </w:r>
      <w:r w:rsidR="00E91084">
        <w:t>Maryam Rastegarpoor</w:t>
      </w:r>
      <w:r w:rsidR="00E91084" w:rsidRPr="00E15C7A">
        <w:rPr>
          <w:vertAlign w:val="superscript"/>
        </w:rPr>
        <w:t>1</w:t>
      </w:r>
      <w:r w:rsidR="000509A9">
        <w:t xml:space="preserve">, </w:t>
      </w:r>
      <w:r w:rsidR="000509A9">
        <w:t>Aaron Fenster</w:t>
      </w:r>
      <w:r w:rsidR="000509A9" w:rsidRPr="00E15C7A">
        <w:rPr>
          <w:vertAlign w:val="superscript"/>
        </w:rPr>
        <w:t>1</w:t>
      </w:r>
    </w:p>
    <w:p w14:paraId="353A7E9D" w14:textId="507575ED" w:rsidR="00664220" w:rsidRPr="00664220" w:rsidRDefault="00A722D7" w:rsidP="00664220">
      <w:pPr>
        <w:pStyle w:val="address"/>
        <w:rPr>
          <w:rFonts w:ascii="Courier" w:hAnsi="Courier" w:cs="Courier"/>
          <w:noProof/>
        </w:rPr>
      </w:pPr>
      <w:r w:rsidRPr="00E15C7A">
        <w:rPr>
          <w:vertAlign w:val="superscript"/>
        </w:rPr>
        <w:t>1</w:t>
      </w:r>
      <w:r w:rsidRPr="00E15C7A">
        <w:t xml:space="preserve"> </w:t>
      </w:r>
      <w:r w:rsidR="00664220">
        <w:t>Robarts Research Institute, Western University, London, Canada</w:t>
      </w:r>
      <w:r w:rsidRPr="00E15C7A">
        <w:br/>
      </w:r>
      <w:hyperlink r:id="rId8" w:history="1">
        <w:r w:rsidR="00664220" w:rsidRPr="00B9704F">
          <w:rPr>
            <w:rStyle w:val="Hyperlink"/>
            <w:rFonts w:ascii="Courier" w:hAnsi="Courier" w:cs="Courier"/>
            <w:noProof/>
          </w:rPr>
          <w:t>oarbelwo@uwo.ca</w:t>
        </w:r>
      </w:hyperlink>
      <w:r w:rsidR="00664220">
        <w:rPr>
          <w:rStyle w:val="e-mail"/>
        </w:rPr>
        <w:t>,</w:t>
      </w:r>
      <w:r w:rsidR="00791328">
        <w:rPr>
          <w:rStyle w:val="e-mail"/>
        </w:rPr>
        <w:t xml:space="preserve"> mrasteg2@uwo.ca</w:t>
      </w:r>
      <w:r w:rsidR="0097518D">
        <w:rPr>
          <w:rStyle w:val="e-mail"/>
        </w:rPr>
        <w:t xml:space="preserve">, </w:t>
      </w:r>
      <w:hyperlink r:id="rId9" w:history="1">
        <w:r w:rsidR="0097518D" w:rsidRPr="000058FD">
          <w:rPr>
            <w:rStyle w:val="Hyperlink"/>
            <w:rFonts w:ascii="Courier" w:hAnsi="Courier" w:cs="Courier"/>
            <w:noProof/>
          </w:rPr>
          <w:t>afenster@uwo.ca</w:t>
        </w:r>
      </w:hyperlink>
    </w:p>
    <w:p w14:paraId="024E2CE6" w14:textId="16C0BDE9" w:rsidR="001C7F44" w:rsidRDefault="00000000" w:rsidP="001C7F44">
      <w:pPr>
        <w:pStyle w:val="abstract"/>
        <w:spacing w:after="0"/>
        <w:ind w:firstLine="0"/>
        <w:rPr>
          <w:lang w:val="en-CA"/>
        </w:rPr>
      </w:pPr>
      <w:r w:rsidRPr="00EE426C">
        <w:rPr>
          <w:b/>
          <w:bCs/>
        </w:rPr>
        <w:t>Abstract.</w:t>
      </w:r>
      <w:r w:rsidR="008F1C06">
        <w:t xml:space="preserve"> </w:t>
      </w:r>
      <w:r w:rsidR="00575D81" w:rsidRPr="00575D81">
        <w:rPr>
          <w:lang w:val="en-CA"/>
        </w:rPr>
        <w:t>Kidney ablation therapy is a minimally invasive procedure used to treat renal tumo</w:t>
      </w:r>
      <w:r w:rsidR="00BA64BD">
        <w:rPr>
          <w:lang w:val="en-CA"/>
        </w:rPr>
        <w:t>u</w:t>
      </w:r>
      <w:r w:rsidR="00575D81" w:rsidRPr="00575D81">
        <w:rPr>
          <w:lang w:val="en-CA"/>
        </w:rPr>
        <w:t xml:space="preserve">rs. Evaluating treatment success </w:t>
      </w:r>
      <w:r w:rsidR="001C7F44">
        <w:rPr>
          <w:lang w:val="en-CA"/>
        </w:rPr>
        <w:t xml:space="preserve">for planning follow-up care </w:t>
      </w:r>
      <w:r w:rsidR="00575D81" w:rsidRPr="00575D81">
        <w:rPr>
          <w:lang w:val="en-CA"/>
        </w:rPr>
        <w:t xml:space="preserve">relies on accurate kidney ablation zone (KAZ) </w:t>
      </w:r>
      <w:r w:rsidR="00CC1BCF">
        <w:rPr>
          <w:lang w:val="en-CA"/>
        </w:rPr>
        <w:t xml:space="preserve">segmentation </w:t>
      </w:r>
      <w:r w:rsidR="00575D81" w:rsidRPr="00575D81">
        <w:rPr>
          <w:lang w:val="en-CA"/>
        </w:rPr>
        <w:t>in post-operative CT images.</w:t>
      </w:r>
      <w:r w:rsidR="001C7F44">
        <w:rPr>
          <w:lang w:val="en-CA"/>
        </w:rPr>
        <w:t xml:space="preserve"> However, manual segmentation is time-consuming and prone to inter-observer variability and traditional segmentation is challenging</w:t>
      </w:r>
      <w:r w:rsidR="006A30F8">
        <w:rPr>
          <w:lang w:val="en-CA"/>
        </w:rPr>
        <w:t xml:space="preserve"> </w:t>
      </w:r>
      <w:r w:rsidR="00251D2B">
        <w:rPr>
          <w:lang w:val="en-CA"/>
        </w:rPr>
        <w:t>as</w:t>
      </w:r>
      <w:r w:rsidR="00DB22AE">
        <w:rPr>
          <w:lang w:val="en-CA"/>
        </w:rPr>
        <w:t xml:space="preserve"> </w:t>
      </w:r>
      <w:r w:rsidR="001C7F44">
        <w:rPr>
          <w:lang w:val="en-CA"/>
        </w:rPr>
        <w:t>ground truth labels only provide a</w:t>
      </w:r>
      <w:r w:rsidR="00DB22AE">
        <w:rPr>
          <w:lang w:val="en-CA"/>
        </w:rPr>
        <w:t xml:space="preserve"> partial</w:t>
      </w:r>
      <w:r w:rsidR="001C7F44">
        <w:rPr>
          <w:lang w:val="en-CA"/>
        </w:rPr>
        <w:t xml:space="preserve"> estimate of the area of interest. </w:t>
      </w:r>
      <w:r w:rsidR="00251D2B">
        <w:rPr>
          <w:lang w:val="en-CA"/>
        </w:rPr>
        <w:t>Segmenting</w:t>
      </w:r>
      <w:r w:rsidR="00A04915">
        <w:rPr>
          <w:lang w:val="en-CA"/>
        </w:rPr>
        <w:t xml:space="preserve"> the area of interest requires </w:t>
      </w:r>
      <w:r w:rsidR="003F215A">
        <w:rPr>
          <w:lang w:val="en-CA"/>
        </w:rPr>
        <w:t>careful</w:t>
      </w:r>
      <w:r w:rsidR="00A04915">
        <w:rPr>
          <w:lang w:val="en-CA"/>
        </w:rPr>
        <w:t xml:space="preserve"> </w:t>
      </w:r>
      <w:r w:rsidR="003F215A">
        <w:rPr>
          <w:lang w:val="en-CA"/>
        </w:rPr>
        <w:t>attention</w:t>
      </w:r>
      <w:r w:rsidR="00A04915">
        <w:rPr>
          <w:lang w:val="en-CA"/>
        </w:rPr>
        <w:t xml:space="preserve"> to </w:t>
      </w:r>
      <w:r w:rsidR="003F215A">
        <w:rPr>
          <w:lang w:val="en-CA"/>
        </w:rPr>
        <w:t>the specific clinical</w:t>
      </w:r>
      <w:r w:rsidR="00A04915">
        <w:rPr>
          <w:lang w:val="en-CA"/>
        </w:rPr>
        <w:t xml:space="preserve"> needs of the resulting deep learning framework, including </w:t>
      </w:r>
      <w:r w:rsidR="00791328">
        <w:rPr>
          <w:lang w:val="en-CA"/>
        </w:rPr>
        <w:t>the addition of</w:t>
      </w:r>
      <w:r w:rsidR="00A04915">
        <w:rPr>
          <w:lang w:val="en-CA"/>
        </w:rPr>
        <w:t xml:space="preserve"> model interpretability and uncertainty estimation for further clinical review. </w:t>
      </w:r>
      <w:r w:rsidR="001C7F44">
        <w:t>We introduce a deep learning framework, XBoundNet++, that permits (1) precise segmentation of the boundary, (2) detailed attention maps for model layer-wise interpretability, and (3) model uncertainty estimation based on Bayesian Monte-Carlo dropouts and model ensembles.</w:t>
      </w:r>
      <w:r w:rsidR="00A04915">
        <w:t xml:space="preserve"> The model was trained and evaluated using a nested 5-fold cross</w:t>
      </w:r>
      <w:r w:rsidR="00CC1BCF">
        <w:t>-</w:t>
      </w:r>
      <w:r w:rsidR="00A04915">
        <w:t xml:space="preserve">validation on a local dataset of 76 patients (with 912 CT 2D </w:t>
      </w:r>
      <w:r w:rsidR="00F23CBC">
        <w:t xml:space="preserve">radial </w:t>
      </w:r>
      <w:r w:rsidR="00A04915">
        <w:t xml:space="preserve">slices), collected at London Health Sciences Centre, which included manually annotated KAZs. </w:t>
      </w:r>
      <w:r w:rsidR="00FC1364">
        <w:t>Quantitative analysis show</w:t>
      </w:r>
      <w:r w:rsidR="00006725">
        <w:t>ed</w:t>
      </w:r>
      <w:r w:rsidR="00FC1364">
        <w:t xml:space="preserve"> that XBoundNet++ achieved promising segmentation results, including 88% precision, 83% recall, 84% DSC, 74% Jaccard, 6.89-pixel M</w:t>
      </w:r>
      <w:r w:rsidR="001F2D54">
        <w:t xml:space="preserve">ean Absolute Distance (MAD), -0.60-pixel Mean Signed Distance (MSD), and a 19.86-pixel Hausdorff distance (HD). </w:t>
      </w:r>
      <w:r w:rsidR="00904E64">
        <w:t>Furthermore, heatmaps at each layer</w:t>
      </w:r>
      <w:r w:rsidR="009735DB">
        <w:t>, probability</w:t>
      </w:r>
      <w:r w:rsidR="006D7DF8">
        <w:t xml:space="preserve"> and uncertainty</w:t>
      </w:r>
      <w:r w:rsidR="009735DB">
        <w:t xml:space="preserve"> maps, and </w:t>
      </w:r>
      <w:r w:rsidR="00904E64">
        <w:t xml:space="preserve">uncertainty estimation at several thresholds </w:t>
      </w:r>
      <w:r w:rsidR="00DB22AE">
        <w:t>indicate</w:t>
      </w:r>
      <w:r w:rsidR="00791328">
        <w:t xml:space="preserve"> </w:t>
      </w:r>
      <w:r w:rsidR="00DB22AE">
        <w:t>model</w:t>
      </w:r>
      <w:r w:rsidR="00904E64">
        <w:t xml:space="preserve"> trustworthiness, confidence, and justification for predictions. </w:t>
      </w:r>
      <w:r w:rsidR="002D1A38">
        <w:t xml:space="preserve">Our codebase can be found at </w:t>
      </w:r>
      <w:hyperlink r:id="rId10" w:history="1">
        <w:r w:rsidR="00791328" w:rsidRPr="000058FD">
          <w:rPr>
            <w:rStyle w:val="Hyperlink"/>
          </w:rPr>
          <w:t>https://github.com/oarbelw/XBoundNetPlusPlus</w:t>
        </w:r>
      </w:hyperlink>
      <w:r w:rsidR="002D1A38">
        <w:t xml:space="preserve"> and the dataset will be available upon request.</w:t>
      </w:r>
    </w:p>
    <w:p w14:paraId="256DE588" w14:textId="187DAB3A" w:rsidR="00DB504B" w:rsidRPr="00EE426C" w:rsidRDefault="00000000" w:rsidP="00F86665">
      <w:pPr>
        <w:pStyle w:val="keywords"/>
        <w:ind w:left="720" w:hanging="153"/>
      </w:pPr>
      <w:r w:rsidRPr="00EE426C">
        <w:rPr>
          <w:b/>
          <w:bCs/>
        </w:rPr>
        <w:t>Keywords:</w:t>
      </w:r>
      <w:r w:rsidRPr="00EE426C">
        <w:t xml:space="preserve"> </w:t>
      </w:r>
      <w:r w:rsidR="009A668E">
        <w:t>Kidney Ablation, Segmentation, Interpretability, Uncertainty</w:t>
      </w:r>
      <w:r w:rsidR="00791328">
        <w:t>, Deep Learning, CT images</w:t>
      </w:r>
    </w:p>
    <w:p w14:paraId="28CF3100" w14:textId="3DDF483C" w:rsidR="00A722D7" w:rsidRDefault="001E6706" w:rsidP="00A722D7">
      <w:pPr>
        <w:pStyle w:val="heading1"/>
      </w:pPr>
      <w:r>
        <w:t>Introduction</w:t>
      </w:r>
    </w:p>
    <w:p w14:paraId="6E13D367" w14:textId="647DF0B4" w:rsidR="00B66B37" w:rsidRDefault="00617C92" w:rsidP="00E330F4">
      <w:pPr>
        <w:ind w:firstLine="0"/>
      </w:pPr>
      <w:r>
        <w:t xml:space="preserve">Many </w:t>
      </w:r>
      <w:r w:rsidR="00B95B8E">
        <w:t xml:space="preserve">segmentation </w:t>
      </w:r>
      <w:r>
        <w:t xml:space="preserve">methods perform well </w:t>
      </w:r>
      <w:r w:rsidR="00B95B8E">
        <w:t>for</w:t>
      </w:r>
      <w:r w:rsidR="007E56CD">
        <w:t xml:space="preserve"> known structures (e.g.</w:t>
      </w:r>
      <w:r w:rsidR="00B95B8E">
        <w:t>,</w:t>
      </w:r>
      <w:r w:rsidR="007E56CD">
        <w:t xml:space="preserve"> kidney, liver in CT) [</w:t>
      </w:r>
      <w:r w:rsidR="005A13CE">
        <w:fldChar w:fldCharType="begin"/>
      </w:r>
      <w:r w:rsidR="005A13CE">
        <w:instrText xml:space="preserve"> REF _Ref204163616 \r \h </w:instrText>
      </w:r>
      <w:r w:rsidR="005A13CE">
        <w:fldChar w:fldCharType="separate"/>
      </w:r>
      <w:r w:rsidR="006F2C26">
        <w:t>2</w:t>
      </w:r>
      <w:r w:rsidR="005A13CE">
        <w:fldChar w:fldCharType="end"/>
      </w:r>
      <w:r w:rsidR="00946E09">
        <w:t>,</w:t>
      </w:r>
      <w:r w:rsidR="005A13CE">
        <w:t xml:space="preserve"> </w:t>
      </w:r>
      <w:r w:rsidR="005A13CE">
        <w:fldChar w:fldCharType="begin"/>
      </w:r>
      <w:r w:rsidR="005A13CE">
        <w:instrText xml:space="preserve"> REF _Ref204163666 \r \h </w:instrText>
      </w:r>
      <w:r w:rsidR="005A13CE">
        <w:fldChar w:fldCharType="separate"/>
      </w:r>
      <w:r w:rsidR="006F2C26">
        <w:t>17</w:t>
      </w:r>
      <w:r w:rsidR="005A13CE">
        <w:fldChar w:fldCharType="end"/>
      </w:r>
      <w:r w:rsidR="007E56CD">
        <w:t>], as well as pathological structures (e.g.</w:t>
      </w:r>
      <w:r w:rsidR="00B95B8E">
        <w:t>,</w:t>
      </w:r>
      <w:r w:rsidR="007E56CD">
        <w:t xml:space="preserve"> brain tumo</w:t>
      </w:r>
      <w:r w:rsidR="00BA64BD">
        <w:t>u</w:t>
      </w:r>
      <w:r w:rsidR="007E56CD">
        <w:t>rs) [</w:t>
      </w:r>
      <w:r w:rsidR="005A13CE">
        <w:fldChar w:fldCharType="begin"/>
      </w:r>
      <w:r w:rsidR="005A13CE">
        <w:instrText xml:space="preserve"> REF _Ref204163694 \r \h </w:instrText>
      </w:r>
      <w:r w:rsidR="005A13CE">
        <w:fldChar w:fldCharType="separate"/>
      </w:r>
      <w:r w:rsidR="006F2C26">
        <w:t>18</w:t>
      </w:r>
      <w:r w:rsidR="005A13CE">
        <w:fldChar w:fldCharType="end"/>
      </w:r>
      <w:r w:rsidR="007E56CD">
        <w:t>]. However, supervised learning requires the ground truth labels for objects of interest for training</w:t>
      </w:r>
      <w:r w:rsidR="00B95B8E">
        <w:t>, but t</w:t>
      </w:r>
      <w:r w:rsidR="007E56CD">
        <w:t>here are</w:t>
      </w:r>
      <w:r w:rsidR="005345E1">
        <w:t xml:space="preserve"> commonly</w:t>
      </w:r>
      <w:r w:rsidR="00DB22AE">
        <w:t xml:space="preserve"> </w:t>
      </w:r>
      <w:r w:rsidR="007E56CD">
        <w:t>contexts in which ground-truth labels are generally challenging to obtain</w:t>
      </w:r>
      <w:r w:rsidR="00B95B8E">
        <w:t xml:space="preserve">. </w:t>
      </w:r>
      <w:r w:rsidR="007E56CD">
        <w:t xml:space="preserve">Furthermore, additional challenges are presented in these types of clinical contexts as they typically consist of a limited number of cases. These contexts are not well </w:t>
      </w:r>
      <w:r w:rsidR="007E56CD">
        <w:lastRenderedPageBreak/>
        <w:t xml:space="preserve">studied in the literature and require particular care in terms of providing the clinician with model transparency and model uncertainty </w:t>
      </w:r>
      <w:proofErr w:type="gramStart"/>
      <w:r w:rsidR="007E56CD">
        <w:t>in order to</w:t>
      </w:r>
      <w:proofErr w:type="gramEnd"/>
      <w:r w:rsidR="007E56CD">
        <w:t xml:space="preserve"> trust the results and review the areas of relevance. </w:t>
      </w:r>
      <w:r w:rsidR="00417C87">
        <w:t>This is crucial to enable trustworthy AI</w:t>
      </w:r>
      <w:r w:rsidR="003C68BD">
        <w:t xml:space="preserve"> that aligns with established standards [</w:t>
      </w:r>
      <w:r w:rsidR="00790EBE">
        <w:fldChar w:fldCharType="begin"/>
      </w:r>
      <w:r w:rsidR="00790EBE">
        <w:instrText xml:space="preserve"> REF _Ref204771829 \r \h </w:instrText>
      </w:r>
      <w:r w:rsidR="00790EBE">
        <w:fldChar w:fldCharType="separate"/>
      </w:r>
      <w:r w:rsidR="006F2C26">
        <w:t>14</w:t>
      </w:r>
      <w:r w:rsidR="00790EBE">
        <w:fldChar w:fldCharType="end"/>
      </w:r>
      <w:r w:rsidR="003C68BD">
        <w:t>]</w:t>
      </w:r>
      <w:r w:rsidR="00417C87">
        <w:t>, helping with:</w:t>
      </w:r>
    </w:p>
    <w:p w14:paraId="4CC764B5" w14:textId="319D55A1" w:rsidR="00E330F4" w:rsidRPr="00BB372F" w:rsidRDefault="00E330F4" w:rsidP="00E330F4">
      <w:pPr>
        <w:pStyle w:val="image"/>
      </w:pPr>
      <w:r>
        <w:rPr>
          <w:noProof/>
        </w:rPr>
        <w:drawing>
          <wp:inline distT="0" distB="0" distL="0" distR="0" wp14:anchorId="55840046" wp14:editId="312949CA">
            <wp:extent cx="2813975" cy="1512308"/>
            <wp:effectExtent l="0" t="0" r="5715" b="0"/>
            <wp:docPr id="205594637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97698" cy="1557303"/>
                    </a:xfrm>
                    <a:prstGeom prst="rect">
                      <a:avLst/>
                    </a:prstGeom>
                    <a:noFill/>
                    <a:ln>
                      <a:noFill/>
                    </a:ln>
                  </pic:spPr>
                </pic:pic>
              </a:graphicData>
            </a:graphic>
          </wp:inline>
        </w:drawing>
      </w:r>
    </w:p>
    <w:p w14:paraId="0C13C907" w14:textId="5555048F" w:rsidR="00B66B37" w:rsidRPr="00B66B37" w:rsidRDefault="00F86665" w:rsidP="00F86665">
      <w:pPr>
        <w:pStyle w:val="figurecaption"/>
        <w:jc w:val="both"/>
        <w:rPr>
          <w:lang w:val="en-CA"/>
        </w:rPr>
      </w:pPr>
      <w:bookmarkStart w:id="0" w:name="_Ref201844456"/>
      <w:r>
        <w:rPr>
          <w:b/>
        </w:rPr>
        <w:t xml:space="preserve">Fig. </w:t>
      </w:r>
      <w:r>
        <w:rPr>
          <w:b/>
        </w:rPr>
        <w:fldChar w:fldCharType="begin"/>
      </w:r>
      <w:r>
        <w:rPr>
          <w:b/>
        </w:rPr>
        <w:instrText xml:space="preserve"> SEQ "Figure" \* MERGEFORMAT </w:instrText>
      </w:r>
      <w:r>
        <w:rPr>
          <w:b/>
        </w:rPr>
        <w:fldChar w:fldCharType="separate"/>
      </w:r>
      <w:r w:rsidR="006F2C26">
        <w:rPr>
          <w:b/>
          <w:noProof/>
        </w:rPr>
        <w:t>1</w:t>
      </w:r>
      <w:r>
        <w:rPr>
          <w:b/>
        </w:rPr>
        <w:fldChar w:fldCharType="end"/>
      </w:r>
      <w:bookmarkEnd w:id="0"/>
      <w:r>
        <w:rPr>
          <w:b/>
        </w:rPr>
        <w:t>.</w:t>
      </w:r>
      <w:r>
        <w:t xml:space="preserve"> </w:t>
      </w:r>
      <w:r w:rsidR="00B66B37" w:rsidRPr="00F86665">
        <w:t>Two</w:t>
      </w:r>
      <w:r w:rsidR="00B66B37">
        <w:rPr>
          <w:lang w:val="en-CA"/>
        </w:rPr>
        <w:t xml:space="preserve"> sample patient images from the dataset, where (a) are raw images, and (b) clinically annotated images. </w:t>
      </w:r>
    </w:p>
    <w:p w14:paraId="072B4761" w14:textId="4D7B1EF1" w:rsidR="00274727" w:rsidRDefault="007E56CD" w:rsidP="00274727">
      <w:r>
        <w:t>In this paper, we consider</w:t>
      </w:r>
      <w:r w:rsidR="00FE7791">
        <w:t xml:space="preserve"> </w:t>
      </w:r>
      <w:r w:rsidR="00F616B4">
        <w:t>post-treatment delineation</w:t>
      </w:r>
      <w:r w:rsidR="00FE7791">
        <w:t xml:space="preserve"> </w:t>
      </w:r>
      <w:r w:rsidR="00F616B4">
        <w:t>of the</w:t>
      </w:r>
      <w:r w:rsidR="00FE7791">
        <w:t xml:space="preserve"> ablation zone </w:t>
      </w:r>
      <w:r>
        <w:t xml:space="preserve">in </w:t>
      </w:r>
      <w:r w:rsidR="00F616B4">
        <w:t xml:space="preserve">kidney </w:t>
      </w:r>
      <w:r>
        <w:t>CT images.</w:t>
      </w:r>
      <w:r w:rsidR="00337115">
        <w:t xml:space="preserve"> Kidney cancer, or renal cell carcinoma, is one of the most </w:t>
      </w:r>
      <w:r w:rsidR="00025A32">
        <w:t xml:space="preserve">prevalent </w:t>
      </w:r>
      <w:r w:rsidR="00337115">
        <w:t>urological malignancies worldwide</w:t>
      </w:r>
      <w:r w:rsidR="00E24864">
        <w:t xml:space="preserve">. </w:t>
      </w:r>
      <w:r w:rsidR="00337115">
        <w:t xml:space="preserve">For patients unfit for surgical intervention, thermal ablation therapies like microwave or radiofrequency ablation offer a minimally invasive alternative. These procedures aim to destroy malignant cells by creating a “kidney ablation zone” (KAZ) that encapsulates the tumour and surrounding margin. Post-treatment assessment </w:t>
      </w:r>
      <w:r w:rsidR="00B95B8E">
        <w:t>depends</w:t>
      </w:r>
      <w:r w:rsidR="00337115">
        <w:t xml:space="preserve"> on accurately identifying the entirety of the KAZ in follow-up CT scans, which is a critical task for determining treatment success and guiding subsequent care [</w:t>
      </w:r>
      <w:r w:rsidR="005A13CE">
        <w:fldChar w:fldCharType="begin"/>
      </w:r>
      <w:r w:rsidR="005A13CE">
        <w:instrText xml:space="preserve"> REF _Ref201774926 \r \h </w:instrText>
      </w:r>
      <w:r w:rsidR="005A13CE">
        <w:fldChar w:fldCharType="separate"/>
      </w:r>
      <w:r w:rsidR="006F2C26">
        <w:t>6</w:t>
      </w:r>
      <w:r w:rsidR="005A13CE">
        <w:fldChar w:fldCharType="end"/>
      </w:r>
      <w:r w:rsidR="00337115">
        <w:t xml:space="preserve">]. </w:t>
      </w:r>
    </w:p>
    <w:p w14:paraId="0F8B9B70" w14:textId="720214C0" w:rsidR="00274727" w:rsidRPr="00274727" w:rsidRDefault="00274727" w:rsidP="00274727">
      <w:pPr>
        <w:rPr>
          <w:lang w:val="en-CA"/>
        </w:rPr>
      </w:pPr>
      <w:r w:rsidRPr="00274727">
        <w:rPr>
          <w:lang w:val="en-CA"/>
        </w:rPr>
        <w:t>The integration of uncertainty-aware deep learning techniques would be important in medical imaging domains involving ambiguous or low-contrast boundaries, such as post-ablation regions. However, to date, no deep learning models have been developed</w:t>
      </w:r>
      <w:r w:rsidR="00791328">
        <w:rPr>
          <w:lang w:val="en-CA"/>
        </w:rPr>
        <w:t xml:space="preserve"> and published </w:t>
      </w:r>
      <w:r w:rsidRPr="00274727">
        <w:rPr>
          <w:lang w:val="en-CA"/>
        </w:rPr>
        <w:t>for this task. </w:t>
      </w:r>
    </w:p>
    <w:p w14:paraId="79D6BF3F" w14:textId="79D934A8" w:rsidR="00274727" w:rsidRPr="00274727" w:rsidRDefault="00274727" w:rsidP="00274727">
      <w:pPr>
        <w:rPr>
          <w:lang w:val="en-CA"/>
        </w:rPr>
      </w:pPr>
      <w:r w:rsidRPr="00274727">
        <w:rPr>
          <w:lang w:val="en-CA"/>
        </w:rPr>
        <w:t xml:space="preserve">Uncertainty estimation in deep learning models </w:t>
      </w:r>
      <w:r w:rsidR="00791328">
        <w:rPr>
          <w:lang w:val="en-CA"/>
        </w:rPr>
        <w:t>has</w:t>
      </w:r>
      <w:r w:rsidRPr="00274727">
        <w:rPr>
          <w:lang w:val="en-CA"/>
        </w:rPr>
        <w:t xml:space="preserve"> been developed to help identify areas where predictions may be unreliable due to image ambiguity, label noise, or model uncertainty. A number of specific deep learning architectures were proposed to explicitly predict segmentation labels along with probabilistic outcomes, such as the Probabilistic U-Net [</w:t>
      </w:r>
      <w:r w:rsidR="00D57E84">
        <w:rPr>
          <w:lang w:val="en-CA"/>
        </w:rPr>
        <w:fldChar w:fldCharType="begin"/>
      </w:r>
      <w:r w:rsidR="00D57E84">
        <w:rPr>
          <w:lang w:val="en-CA"/>
        </w:rPr>
        <w:instrText xml:space="preserve"> REF _Ref204164078 \r \h </w:instrText>
      </w:r>
      <w:r w:rsidR="00D57E84">
        <w:rPr>
          <w:lang w:val="en-CA"/>
        </w:rPr>
      </w:r>
      <w:r w:rsidR="00D57E84">
        <w:rPr>
          <w:lang w:val="en-CA"/>
        </w:rPr>
        <w:fldChar w:fldCharType="separate"/>
      </w:r>
      <w:r w:rsidR="006F2C26">
        <w:rPr>
          <w:lang w:val="en-CA"/>
        </w:rPr>
        <w:t>13</w:t>
      </w:r>
      <w:r w:rsidR="00D57E84">
        <w:rPr>
          <w:lang w:val="en-CA"/>
        </w:rPr>
        <w:fldChar w:fldCharType="end"/>
      </w:r>
      <w:r w:rsidRPr="00274727">
        <w:rPr>
          <w:lang w:val="en-CA"/>
        </w:rPr>
        <w:t>] and PHISeg [</w:t>
      </w:r>
      <w:r w:rsidR="00D57E84">
        <w:rPr>
          <w:lang w:val="en-CA"/>
        </w:rPr>
        <w:fldChar w:fldCharType="begin"/>
      </w:r>
      <w:r w:rsidR="00D57E84">
        <w:rPr>
          <w:lang w:val="en-CA"/>
        </w:rPr>
        <w:instrText xml:space="preserve"> REF _Ref204164099 \r \h </w:instrText>
      </w:r>
      <w:r w:rsidR="00D57E84">
        <w:rPr>
          <w:lang w:val="en-CA"/>
        </w:rPr>
      </w:r>
      <w:r w:rsidR="00D57E84">
        <w:rPr>
          <w:lang w:val="en-CA"/>
        </w:rPr>
        <w:fldChar w:fldCharType="separate"/>
      </w:r>
      <w:r w:rsidR="006F2C26">
        <w:rPr>
          <w:lang w:val="en-CA"/>
        </w:rPr>
        <w:t>1</w:t>
      </w:r>
      <w:r w:rsidR="00D57E84">
        <w:rPr>
          <w:lang w:val="en-CA"/>
        </w:rPr>
        <w:fldChar w:fldCharType="end"/>
      </w:r>
      <w:r w:rsidRPr="00274727">
        <w:rPr>
          <w:lang w:val="en-CA"/>
        </w:rPr>
        <w:t>]. However, these models </w:t>
      </w:r>
      <w:r w:rsidR="002B1957">
        <w:rPr>
          <w:lang w:val="en-CA"/>
        </w:rPr>
        <w:t>r</w:t>
      </w:r>
      <w:r w:rsidRPr="00274727">
        <w:rPr>
          <w:lang w:val="en-CA"/>
        </w:rPr>
        <w:t xml:space="preserve">equire architecture modification built specifically for </w:t>
      </w:r>
      <w:proofErr w:type="gramStart"/>
      <w:r w:rsidRPr="00274727">
        <w:rPr>
          <w:lang w:val="en-CA"/>
        </w:rPr>
        <w:t>particular kinds</w:t>
      </w:r>
      <w:proofErr w:type="gramEnd"/>
      <w:r w:rsidRPr="00274727">
        <w:rPr>
          <w:lang w:val="en-CA"/>
        </w:rPr>
        <w:t xml:space="preserve"> of uncertainty measures and are not easily adaptable to any context, for example</w:t>
      </w:r>
      <w:r w:rsidR="00791328">
        <w:rPr>
          <w:lang w:val="en-CA"/>
        </w:rPr>
        <w:t>,</w:t>
      </w:r>
      <w:r w:rsidRPr="00274727">
        <w:rPr>
          <w:lang w:val="en-CA"/>
        </w:rPr>
        <w:t xml:space="preserve"> models that also embed attention modules within the framework. Other models were developed such as </w:t>
      </w:r>
      <w:proofErr w:type="spellStart"/>
      <w:r w:rsidRPr="00274727">
        <w:rPr>
          <w:lang w:val="en-CA"/>
        </w:rPr>
        <w:t>PULASki</w:t>
      </w:r>
      <w:proofErr w:type="spellEnd"/>
      <w:r w:rsidRPr="00274727">
        <w:rPr>
          <w:lang w:val="en-CA"/>
        </w:rPr>
        <w:t xml:space="preserve"> [</w:t>
      </w:r>
      <w:r w:rsidR="00D57E84">
        <w:rPr>
          <w:lang w:val="en-CA"/>
        </w:rPr>
        <w:fldChar w:fldCharType="begin"/>
      </w:r>
      <w:r w:rsidR="00D57E84">
        <w:rPr>
          <w:lang w:val="en-CA"/>
        </w:rPr>
        <w:instrText xml:space="preserve"> REF _Ref204164118 \r \h </w:instrText>
      </w:r>
      <w:r w:rsidR="00D57E84">
        <w:rPr>
          <w:lang w:val="en-CA"/>
        </w:rPr>
      </w:r>
      <w:r w:rsidR="00D57E84">
        <w:rPr>
          <w:lang w:val="en-CA"/>
        </w:rPr>
        <w:fldChar w:fldCharType="separate"/>
      </w:r>
      <w:r w:rsidR="006F2C26">
        <w:rPr>
          <w:lang w:val="en-CA"/>
        </w:rPr>
        <w:t>3</w:t>
      </w:r>
      <w:r w:rsidR="00D57E84">
        <w:rPr>
          <w:lang w:val="en-CA"/>
        </w:rPr>
        <w:fldChar w:fldCharType="end"/>
      </w:r>
      <w:r w:rsidRPr="00274727">
        <w:rPr>
          <w:lang w:val="en-CA"/>
        </w:rPr>
        <w:t>], a model that explicitly models inherent ambiguity arising from expert disagreement</w:t>
      </w:r>
      <w:r w:rsidR="00791328">
        <w:rPr>
          <w:lang w:val="en-CA"/>
        </w:rPr>
        <w:t>,</w:t>
      </w:r>
      <w:r w:rsidRPr="00274727">
        <w:rPr>
          <w:lang w:val="en-CA"/>
        </w:rPr>
        <w:t xml:space="preserve"> and the recent Stochastic Segmentation Network (SSNs) [</w:t>
      </w:r>
      <w:r w:rsidR="00D57E84">
        <w:rPr>
          <w:lang w:val="en-CA"/>
        </w:rPr>
        <w:fldChar w:fldCharType="begin"/>
      </w:r>
      <w:r w:rsidR="00D57E84">
        <w:rPr>
          <w:lang w:val="en-CA"/>
        </w:rPr>
        <w:instrText xml:space="preserve"> REF _Ref204164137 \r \h </w:instrText>
      </w:r>
      <w:r w:rsidR="00D57E84">
        <w:rPr>
          <w:lang w:val="en-CA"/>
        </w:rPr>
      </w:r>
      <w:r w:rsidR="00D57E84">
        <w:rPr>
          <w:lang w:val="en-CA"/>
        </w:rPr>
        <w:fldChar w:fldCharType="separate"/>
      </w:r>
      <w:r w:rsidR="006F2C26">
        <w:rPr>
          <w:lang w:val="en-CA"/>
        </w:rPr>
        <w:t>19</w:t>
      </w:r>
      <w:r w:rsidR="00D57E84">
        <w:rPr>
          <w:lang w:val="en-CA"/>
        </w:rPr>
        <w:fldChar w:fldCharType="end"/>
      </w:r>
      <w:r w:rsidRPr="00274727">
        <w:rPr>
          <w:lang w:val="en-CA"/>
        </w:rPr>
        <w:t>]</w:t>
      </w:r>
      <w:r w:rsidR="00791328">
        <w:rPr>
          <w:lang w:val="en-CA"/>
        </w:rPr>
        <w:t>,</w:t>
      </w:r>
      <w:r w:rsidRPr="00274727">
        <w:rPr>
          <w:lang w:val="en-CA"/>
        </w:rPr>
        <w:t xml:space="preserve"> which specifically captures the aleatoric uncertainty seen in medical images. </w:t>
      </w:r>
    </w:p>
    <w:p w14:paraId="40C03B29" w14:textId="37C6FE1B" w:rsidR="00274727" w:rsidRPr="00274727" w:rsidRDefault="00274727" w:rsidP="00274727">
      <w:pPr>
        <w:rPr>
          <w:lang w:val="en-CA"/>
        </w:rPr>
      </w:pPr>
      <w:r w:rsidRPr="00274727">
        <w:rPr>
          <w:lang w:val="en-CA"/>
        </w:rPr>
        <w:t>In their seminal paper, Kendall and Gal [</w:t>
      </w:r>
      <w:r w:rsidR="00D57E84">
        <w:rPr>
          <w:lang w:val="en-CA"/>
        </w:rPr>
        <w:fldChar w:fldCharType="begin"/>
      </w:r>
      <w:r w:rsidR="00D57E84">
        <w:rPr>
          <w:lang w:val="en-CA"/>
        </w:rPr>
        <w:instrText xml:space="preserve"> REF _Ref204164155 \r \h </w:instrText>
      </w:r>
      <w:r w:rsidR="00D57E84">
        <w:rPr>
          <w:lang w:val="en-CA"/>
        </w:rPr>
      </w:r>
      <w:r w:rsidR="00D57E84">
        <w:rPr>
          <w:lang w:val="en-CA"/>
        </w:rPr>
        <w:fldChar w:fldCharType="separate"/>
      </w:r>
      <w:r w:rsidR="006F2C26">
        <w:rPr>
          <w:lang w:val="en-CA"/>
        </w:rPr>
        <w:t>12</w:t>
      </w:r>
      <w:r w:rsidR="00D57E84">
        <w:rPr>
          <w:lang w:val="en-CA"/>
        </w:rPr>
        <w:fldChar w:fldCharType="end"/>
      </w:r>
      <w:r w:rsidRPr="00274727">
        <w:rPr>
          <w:lang w:val="en-CA"/>
        </w:rPr>
        <w:t xml:space="preserve">] introduced a framework that models both aleatoric and epistemic uncertainty using Bayesian deep learning (BDL) techniques, which has become the foundation for uncertainty estimation in segmentation. </w:t>
      </w:r>
      <w:r w:rsidRPr="00274727">
        <w:rPr>
          <w:lang w:val="en-CA"/>
        </w:rPr>
        <w:lastRenderedPageBreak/>
        <w:t xml:space="preserve">BDL along with MC Dropout and deep ensembles permit a simple and effective mechanism for post hoc uncertainty estimates in </w:t>
      </w:r>
      <w:r w:rsidR="00F16F1B" w:rsidRPr="00274727">
        <w:rPr>
          <w:lang w:val="en-CA"/>
        </w:rPr>
        <w:t>several</w:t>
      </w:r>
      <w:r w:rsidRPr="00274727">
        <w:rPr>
          <w:lang w:val="en-CA"/>
        </w:rPr>
        <w:t xml:space="preserve"> forms. The beauty of BDL models is that they can be used to estimate epistemic and aleatoric uncertainties through sampling techniques during inference for ANY network with dropout layers. As such, they are </w:t>
      </w:r>
      <w:r w:rsidR="00791328" w:rsidRPr="00274727">
        <w:rPr>
          <w:lang w:val="en-CA"/>
        </w:rPr>
        <w:t>flexible and</w:t>
      </w:r>
      <w:r w:rsidRPr="00274727">
        <w:rPr>
          <w:lang w:val="en-CA"/>
        </w:rPr>
        <w:t xml:space="preserve"> can be added to any network. They have been used in brain tumor segmentation [</w:t>
      </w:r>
      <w:r w:rsidR="00D57E84">
        <w:rPr>
          <w:lang w:val="en-CA"/>
        </w:rPr>
        <w:fldChar w:fldCharType="begin"/>
      </w:r>
      <w:r w:rsidR="00D57E84">
        <w:rPr>
          <w:lang w:val="en-CA"/>
        </w:rPr>
        <w:instrText xml:space="preserve"> REF _Ref204164172 \r \h </w:instrText>
      </w:r>
      <w:r w:rsidR="00D57E84">
        <w:rPr>
          <w:lang w:val="en-CA"/>
        </w:rPr>
      </w:r>
      <w:r w:rsidR="00D57E84">
        <w:rPr>
          <w:lang w:val="en-CA"/>
        </w:rPr>
        <w:fldChar w:fldCharType="separate"/>
      </w:r>
      <w:r w:rsidR="006F2C26">
        <w:rPr>
          <w:lang w:val="en-CA"/>
        </w:rPr>
        <w:t>7</w:t>
      </w:r>
      <w:r w:rsidR="00D57E84">
        <w:rPr>
          <w:lang w:val="en-CA"/>
        </w:rPr>
        <w:fldChar w:fldCharType="end"/>
      </w:r>
      <w:r w:rsidRPr="00274727">
        <w:rPr>
          <w:lang w:val="en-CA"/>
        </w:rPr>
        <w:t xml:space="preserve">, </w:t>
      </w:r>
      <w:r w:rsidR="007E37BB">
        <w:rPr>
          <w:lang w:val="en-CA"/>
        </w:rPr>
        <w:fldChar w:fldCharType="begin"/>
      </w:r>
      <w:r w:rsidR="007E37BB">
        <w:rPr>
          <w:lang w:val="en-CA"/>
        </w:rPr>
        <w:instrText xml:space="preserve"> REF _Ref204164187 \r \h </w:instrText>
      </w:r>
      <w:r w:rsidR="007E37BB">
        <w:rPr>
          <w:lang w:val="en-CA"/>
        </w:rPr>
      </w:r>
      <w:r w:rsidR="007E37BB">
        <w:rPr>
          <w:lang w:val="en-CA"/>
        </w:rPr>
        <w:fldChar w:fldCharType="separate"/>
      </w:r>
      <w:r w:rsidR="006F2C26">
        <w:rPr>
          <w:lang w:val="en-CA"/>
        </w:rPr>
        <w:t>15</w:t>
      </w:r>
      <w:r w:rsidR="007E37BB">
        <w:rPr>
          <w:lang w:val="en-CA"/>
        </w:rPr>
        <w:fldChar w:fldCharType="end"/>
      </w:r>
      <w:r w:rsidRPr="00274727">
        <w:rPr>
          <w:lang w:val="en-CA"/>
        </w:rPr>
        <w:t>] and lesion segmentation [</w:t>
      </w:r>
      <w:r w:rsidR="007E37BB">
        <w:rPr>
          <w:lang w:val="en-CA"/>
        </w:rPr>
        <w:fldChar w:fldCharType="begin"/>
      </w:r>
      <w:r w:rsidR="007E37BB">
        <w:rPr>
          <w:lang w:val="en-CA"/>
        </w:rPr>
        <w:instrText xml:space="preserve"> REF _Ref204164204 \r \h </w:instrText>
      </w:r>
      <w:r w:rsidR="007E37BB">
        <w:rPr>
          <w:lang w:val="en-CA"/>
        </w:rPr>
      </w:r>
      <w:r w:rsidR="007E37BB">
        <w:rPr>
          <w:lang w:val="en-CA"/>
        </w:rPr>
        <w:fldChar w:fldCharType="separate"/>
      </w:r>
      <w:r w:rsidR="006F2C26">
        <w:rPr>
          <w:lang w:val="en-CA"/>
        </w:rPr>
        <w:t>20</w:t>
      </w:r>
      <w:r w:rsidR="007E37BB">
        <w:rPr>
          <w:lang w:val="en-CA"/>
        </w:rPr>
        <w:fldChar w:fldCharType="end"/>
      </w:r>
      <w:r w:rsidRPr="00274727">
        <w:rPr>
          <w:lang w:val="en-CA"/>
        </w:rPr>
        <w:t>].  In the context of kidney imaging, MC dropout has been used [</w:t>
      </w:r>
      <w:r w:rsidR="007E37BB">
        <w:rPr>
          <w:lang w:val="en-CA"/>
        </w:rPr>
        <w:fldChar w:fldCharType="begin"/>
      </w:r>
      <w:r w:rsidR="007E37BB">
        <w:rPr>
          <w:lang w:val="en-CA"/>
        </w:rPr>
        <w:instrText xml:space="preserve"> REF _Ref204164215 \r \h </w:instrText>
      </w:r>
      <w:r w:rsidR="007E37BB">
        <w:rPr>
          <w:lang w:val="en-CA"/>
        </w:rPr>
      </w:r>
      <w:r w:rsidR="007E37BB">
        <w:rPr>
          <w:lang w:val="en-CA"/>
        </w:rPr>
        <w:fldChar w:fldCharType="separate"/>
      </w:r>
      <w:r w:rsidR="006F2C26">
        <w:rPr>
          <w:lang w:val="en-CA"/>
        </w:rPr>
        <w:t>25</w:t>
      </w:r>
      <w:r w:rsidR="007E37BB">
        <w:rPr>
          <w:lang w:val="en-CA"/>
        </w:rPr>
        <w:fldChar w:fldCharType="end"/>
      </w:r>
      <w:r w:rsidRPr="00274727">
        <w:rPr>
          <w:lang w:val="en-CA"/>
        </w:rPr>
        <w:t>] in kidney tumors and cysts segmentation. While most segmentation studies [</w:t>
      </w:r>
      <w:r w:rsidR="007E37BB">
        <w:rPr>
          <w:lang w:val="en-CA"/>
        </w:rPr>
        <w:fldChar w:fldCharType="begin"/>
      </w:r>
      <w:r w:rsidR="007E37BB">
        <w:rPr>
          <w:lang w:val="en-CA"/>
        </w:rPr>
        <w:instrText xml:space="preserve"> REF _Ref204164232 \r \h </w:instrText>
      </w:r>
      <w:r w:rsidR="007E37BB">
        <w:rPr>
          <w:lang w:val="en-CA"/>
        </w:rPr>
      </w:r>
      <w:r w:rsidR="007E37BB">
        <w:rPr>
          <w:lang w:val="en-CA"/>
        </w:rPr>
        <w:fldChar w:fldCharType="separate"/>
      </w:r>
      <w:r w:rsidR="006F2C26">
        <w:rPr>
          <w:lang w:val="en-CA"/>
        </w:rPr>
        <w:t>26</w:t>
      </w:r>
      <w:r w:rsidR="007E37BB">
        <w:rPr>
          <w:lang w:val="en-CA"/>
        </w:rPr>
        <w:fldChar w:fldCharType="end"/>
      </w:r>
      <w:r w:rsidRPr="00274727">
        <w:rPr>
          <w:lang w:val="en-CA"/>
        </w:rPr>
        <w:t>] have focused on kidney tumors (e.g., the KiTS21 and KiTs23 datasets), segmentation of ablation zones, which present irregular, low contrast boundaries post-procedure, remains unexplored.</w:t>
      </w:r>
    </w:p>
    <w:p w14:paraId="0F00C1AD" w14:textId="3065FAA6" w:rsidR="0025547B" w:rsidRDefault="00DB22AE" w:rsidP="00417C87">
      <w:r>
        <w:t>In this work, w</w:t>
      </w:r>
      <w:r w:rsidR="0009205E">
        <w:t xml:space="preserve">e introduce an </w:t>
      </w:r>
      <w:r w:rsidRPr="00DB22AE">
        <w:rPr>
          <w:i/>
          <w:iCs/>
        </w:rPr>
        <w:t>XBoundNet++</w:t>
      </w:r>
      <w:r>
        <w:t xml:space="preserve">, an </w:t>
      </w:r>
      <w:r w:rsidR="0009205E">
        <w:t>eXplainable Boundary-Aware modified ResU-Net++, a novel deep learning segmentation framework designed to provide clinicians with high</w:t>
      </w:r>
      <w:r w:rsidR="00791328">
        <w:t>-</w:t>
      </w:r>
      <w:r w:rsidR="0009205E">
        <w:t>quality segmentation results, model transparency, interpretable tools, and uncertainty estimation</w:t>
      </w:r>
      <w:r>
        <w:t xml:space="preserve"> using Bayesian Monte-Carlo (MC) dropout [</w:t>
      </w:r>
      <w:r w:rsidR="005A13CE">
        <w:fldChar w:fldCharType="begin"/>
      </w:r>
      <w:r w:rsidR="005A13CE">
        <w:instrText xml:space="preserve"> REF _Ref201774937 \r \h </w:instrText>
      </w:r>
      <w:r w:rsidR="005A13CE">
        <w:fldChar w:fldCharType="separate"/>
      </w:r>
      <w:r w:rsidR="006F2C26">
        <w:t>8</w:t>
      </w:r>
      <w:r w:rsidR="005A13CE">
        <w:fldChar w:fldCharType="end"/>
      </w:r>
      <w:r>
        <w:t>]</w:t>
      </w:r>
      <w:r w:rsidR="0009205E">
        <w:t xml:space="preserve">. Our framework is aimed at shifting clinical practice from </w:t>
      </w:r>
      <w:r w:rsidR="000611F8">
        <w:t>unclear binary masks to interpretable tools that explicitly provide confidence, uncertainty, probability, and transparency.</w:t>
      </w:r>
      <w:r w:rsidR="0056476A">
        <w:t xml:space="preserve"> We created an end-to-end pipeline to preprocess an image</w:t>
      </w:r>
      <w:r w:rsidR="00B66B37">
        <w:t xml:space="preserve"> (as seen i</w:t>
      </w:r>
      <w:r w:rsidR="002F0DF8">
        <w:t xml:space="preserve">n </w:t>
      </w:r>
      <w:r w:rsidR="002F0DF8">
        <w:fldChar w:fldCharType="begin"/>
      </w:r>
      <w:r w:rsidR="002F0DF8">
        <w:instrText xml:space="preserve"> REF _Ref201844456 \h </w:instrText>
      </w:r>
      <w:r w:rsidR="002F0DF8">
        <w:fldChar w:fldCharType="separate"/>
      </w:r>
      <w:r w:rsidR="006F2C26">
        <w:rPr>
          <w:b/>
        </w:rPr>
        <w:t xml:space="preserve">Fig. </w:t>
      </w:r>
      <w:r w:rsidR="006F2C26">
        <w:rPr>
          <w:b/>
          <w:noProof/>
        </w:rPr>
        <w:t>1</w:t>
      </w:r>
      <w:r w:rsidR="002F0DF8">
        <w:fldChar w:fldCharType="end"/>
      </w:r>
      <w:r w:rsidR="00B66B37">
        <w:t>)</w:t>
      </w:r>
      <w:r w:rsidR="0056476A">
        <w:t xml:space="preserve">, feed it into our model, generate segmentations of high quality that outperform other state-of-the-art models, provide comprehensive layer-wise transparency, and produce epistemic-uncertainty </w:t>
      </w:r>
      <w:r w:rsidR="00B95B8E">
        <w:t>with</w:t>
      </w:r>
      <w:r w:rsidR="0056476A">
        <w:t xml:space="preserve"> probability maps. </w:t>
      </w:r>
    </w:p>
    <w:p w14:paraId="040B6668" w14:textId="0D57AF40" w:rsidR="00DB504B" w:rsidRDefault="00453522" w:rsidP="00C24DEF">
      <w:pPr>
        <w:pStyle w:val="heading1"/>
      </w:pPr>
      <w:r>
        <w:t>Methods</w:t>
      </w:r>
    </w:p>
    <w:p w14:paraId="095AD8E0" w14:textId="18869AB1" w:rsidR="00A70783" w:rsidRDefault="00A70783" w:rsidP="00A70783">
      <w:pPr>
        <w:pStyle w:val="heading2"/>
        <w:rPr>
          <w:lang w:val="en-CA"/>
        </w:rPr>
      </w:pPr>
      <w:r>
        <w:rPr>
          <w:lang w:val="en-CA"/>
        </w:rPr>
        <w:t xml:space="preserve">XBoundNet++ </w:t>
      </w:r>
      <w:r w:rsidR="009E3A8C">
        <w:rPr>
          <w:lang w:val="en-CA"/>
        </w:rPr>
        <w:t xml:space="preserve">Segmentation </w:t>
      </w:r>
      <w:r>
        <w:rPr>
          <w:lang w:val="en-CA"/>
        </w:rPr>
        <w:t>Network</w:t>
      </w:r>
      <w:r w:rsidR="009E3A8C">
        <w:rPr>
          <w:lang w:val="en-CA"/>
        </w:rPr>
        <w:t xml:space="preserve"> and Training</w:t>
      </w:r>
    </w:p>
    <w:p w14:paraId="11AB34BB" w14:textId="5A59559A" w:rsidR="000C1351" w:rsidRDefault="003014F4" w:rsidP="000C1351">
      <w:pPr>
        <w:pStyle w:val="p1a"/>
      </w:pPr>
      <w:r>
        <w:t>We</w:t>
      </w:r>
      <w:r w:rsidR="000C1351">
        <w:t xml:space="preserve"> </w:t>
      </w:r>
      <w:r w:rsidR="00251F06">
        <w:rPr>
          <w:lang w:val="en-CA"/>
        </w:rPr>
        <w:t>propose XBoundNet++</w:t>
      </w:r>
      <w:r>
        <w:rPr>
          <w:lang w:val="en-CA"/>
        </w:rPr>
        <w:t xml:space="preserve">, </w:t>
      </w:r>
      <w:r w:rsidR="006237C2">
        <w:rPr>
          <w:lang w:val="en-CA"/>
        </w:rPr>
        <w:t xml:space="preserve">an ensemble-based </w:t>
      </w:r>
      <w:r w:rsidR="000C1351">
        <w:t>four-level</w:t>
      </w:r>
      <w:r w:rsidR="006237C2">
        <w:t xml:space="preserve"> modified</w:t>
      </w:r>
      <w:r w:rsidR="000C1351">
        <w:t xml:space="preserve"> </w:t>
      </w:r>
      <w:r w:rsidR="006237C2">
        <w:t>U-Net [</w:t>
      </w:r>
      <w:r w:rsidR="005A13CE">
        <w:fldChar w:fldCharType="begin"/>
      </w:r>
      <w:r w:rsidR="005A13CE">
        <w:instrText xml:space="preserve"> REF _Ref204163802 \r \h </w:instrText>
      </w:r>
      <w:r w:rsidR="005A13CE">
        <w:fldChar w:fldCharType="separate"/>
      </w:r>
      <w:r w:rsidR="006F2C26">
        <w:t>23</w:t>
      </w:r>
      <w:r w:rsidR="005A13CE">
        <w:fldChar w:fldCharType="end"/>
      </w:r>
      <w:r w:rsidR="006237C2">
        <w:t xml:space="preserve">] </w:t>
      </w:r>
      <w:r w:rsidR="000C1351">
        <w:t>i</w:t>
      </w:r>
      <w:r w:rsidR="00C37EF9">
        <w:t>n</w:t>
      </w:r>
      <w:r w:rsidR="005345E1">
        <w:t xml:space="preserve"> </w:t>
      </w:r>
      <w:r w:rsidR="005345E1">
        <w:fldChar w:fldCharType="begin"/>
      </w:r>
      <w:r w:rsidR="005345E1">
        <w:instrText xml:space="preserve"> REF _Ref205233892 \h </w:instrText>
      </w:r>
      <w:r w:rsidR="005345E1">
        <w:fldChar w:fldCharType="separate"/>
      </w:r>
      <w:r w:rsidR="006F2C26">
        <w:rPr>
          <w:b/>
        </w:rPr>
        <w:t xml:space="preserve">Fig. </w:t>
      </w:r>
      <w:r w:rsidR="006F2C26">
        <w:rPr>
          <w:b/>
          <w:noProof/>
        </w:rPr>
        <w:t>2</w:t>
      </w:r>
      <w:r w:rsidR="005345E1">
        <w:fldChar w:fldCharType="end"/>
      </w:r>
      <w:r w:rsidR="000C1351">
        <w:t xml:space="preserve">, </w:t>
      </w:r>
      <w:r w:rsidR="006237C2">
        <w:t>which</w:t>
      </w:r>
      <w:r w:rsidR="000C1351">
        <w:t xml:space="preserve"> introduces architectural elements that explicitly promote feature relevance, spatial focus, and post-hoc transparency.</w:t>
      </w:r>
      <w:r>
        <w:t xml:space="preserve"> Our architecture integrates components from LeXNet++</w:t>
      </w:r>
      <w:r w:rsidR="006237C2">
        <w:t xml:space="preserve"> [</w:t>
      </w:r>
      <w:r w:rsidR="005A13CE">
        <w:fldChar w:fldCharType="begin"/>
      </w:r>
      <w:r w:rsidR="005A13CE">
        <w:instrText xml:space="preserve"> REF _Ref201774985 \r \h </w:instrText>
      </w:r>
      <w:r w:rsidR="005A13CE">
        <w:fldChar w:fldCharType="separate"/>
      </w:r>
      <w:r w:rsidR="006F2C26">
        <w:t>5</w:t>
      </w:r>
      <w:r w:rsidR="005A13CE">
        <w:fldChar w:fldCharType="end"/>
      </w:r>
      <w:r w:rsidR="006237C2">
        <w:t>]</w:t>
      </w:r>
      <w:r>
        <w:t xml:space="preserve">, </w:t>
      </w:r>
      <w:proofErr w:type="spellStart"/>
      <w:r>
        <w:t>ResNet</w:t>
      </w:r>
      <w:proofErr w:type="spellEnd"/>
      <w:r w:rsidR="006237C2">
        <w:t xml:space="preserve"> [</w:t>
      </w:r>
      <w:r w:rsidR="005A13CE">
        <w:fldChar w:fldCharType="begin"/>
      </w:r>
      <w:r w:rsidR="005A13CE">
        <w:instrText xml:space="preserve"> REF _Ref204163845 \r \h </w:instrText>
      </w:r>
      <w:r w:rsidR="005A13CE">
        <w:fldChar w:fldCharType="separate"/>
      </w:r>
      <w:r w:rsidR="006F2C26">
        <w:t>9</w:t>
      </w:r>
      <w:r w:rsidR="005A13CE">
        <w:fldChar w:fldCharType="end"/>
      </w:r>
      <w:r w:rsidR="006237C2">
        <w:t>]</w:t>
      </w:r>
      <w:r>
        <w:t>, attention mechanisms</w:t>
      </w:r>
      <w:r w:rsidR="006237C2">
        <w:t xml:space="preserve"> [</w:t>
      </w:r>
      <w:r w:rsidR="005A13CE">
        <w:fldChar w:fldCharType="begin"/>
      </w:r>
      <w:r w:rsidR="005A13CE">
        <w:instrText xml:space="preserve"> REF _Ref204163868 \r \h </w:instrText>
      </w:r>
      <w:r w:rsidR="005A13CE">
        <w:fldChar w:fldCharType="separate"/>
      </w:r>
      <w:r w:rsidR="006F2C26">
        <w:t>21</w:t>
      </w:r>
      <w:r w:rsidR="005A13CE">
        <w:fldChar w:fldCharType="end"/>
      </w:r>
      <w:r w:rsidR="006237C2">
        <w:t>]</w:t>
      </w:r>
      <w:r>
        <w:t>, Squeeze &amp; Excitation (SE)</w:t>
      </w:r>
      <w:r w:rsidR="006237C2">
        <w:t xml:space="preserve"> [</w:t>
      </w:r>
      <w:r w:rsidR="005A13CE">
        <w:fldChar w:fldCharType="begin"/>
      </w:r>
      <w:r w:rsidR="005A13CE">
        <w:instrText xml:space="preserve"> REF _Ref204163880 \r \h </w:instrText>
      </w:r>
      <w:r w:rsidR="005A13CE">
        <w:fldChar w:fldCharType="separate"/>
      </w:r>
      <w:r w:rsidR="006F2C26">
        <w:t>10</w:t>
      </w:r>
      <w:r w:rsidR="005A13CE">
        <w:fldChar w:fldCharType="end"/>
      </w:r>
      <w:r w:rsidR="006237C2">
        <w:t>]</w:t>
      </w:r>
      <w:r>
        <w:t xml:space="preserve">, </w:t>
      </w:r>
      <w:r w:rsidR="001B2E62">
        <w:t>STEM</w:t>
      </w:r>
      <w:r w:rsidR="006237C2">
        <w:t xml:space="preserve"> [</w:t>
      </w:r>
      <w:r w:rsidR="005A13CE">
        <w:fldChar w:fldCharType="begin"/>
      </w:r>
      <w:r w:rsidR="005A13CE">
        <w:instrText xml:space="preserve"> REF _Ref204163906 \r \h </w:instrText>
      </w:r>
      <w:r w:rsidR="005A13CE">
        <w:fldChar w:fldCharType="separate"/>
      </w:r>
      <w:r w:rsidR="006F2C26">
        <w:t>22</w:t>
      </w:r>
      <w:r w:rsidR="005A13CE">
        <w:fldChar w:fldCharType="end"/>
      </w:r>
      <w:r w:rsidR="006237C2">
        <w:t>]</w:t>
      </w:r>
      <w:r w:rsidR="001B2E62">
        <w:t xml:space="preserve">, </w:t>
      </w:r>
      <w:r>
        <w:t>and several advanced architecture</w:t>
      </w:r>
      <w:r w:rsidR="006237C2">
        <w:t>s</w:t>
      </w:r>
      <w:r>
        <w:t xml:space="preserve">. </w:t>
      </w:r>
    </w:p>
    <w:p w14:paraId="4FD378CE" w14:textId="1E5E6342" w:rsidR="00B77AEA" w:rsidRDefault="00A36007" w:rsidP="00435F42">
      <w:r>
        <w:t xml:space="preserve">The </w:t>
      </w:r>
      <w:proofErr w:type="spellStart"/>
      <w:r w:rsidR="00E8231C">
        <w:t>Atrous</w:t>
      </w:r>
      <w:proofErr w:type="spellEnd"/>
      <w:r w:rsidR="00E8231C">
        <w:t xml:space="preserve"> Spatial Pooling Pyramid (ASPP) </w:t>
      </w:r>
      <w:r>
        <w:t>bridge</w:t>
      </w:r>
      <w:r w:rsidR="00E8231C">
        <w:t>, connecting the encoder and decoder, capture</w:t>
      </w:r>
      <w:r w:rsidR="0038491B">
        <w:t>d</w:t>
      </w:r>
      <w:r w:rsidR="00E8231C">
        <w:t xml:space="preserve"> multi-scale context while maintaining dimensionality. It applie</w:t>
      </w:r>
      <w:r w:rsidR="0038491B">
        <w:t>d</w:t>
      </w:r>
      <w:r w:rsidR="00E8231C">
        <w:t xml:space="preserve"> convolutions </w:t>
      </w:r>
      <w:r w:rsidR="00E8231C" w:rsidRPr="00E8231C">
        <w:t>with dilation</w:t>
      </w:r>
      <w:r w:rsidR="00E8231C">
        <w:t xml:space="preserve">s of </w:t>
      </w:r>
      <w:r w:rsidR="00E8231C" w:rsidRPr="00E8231C">
        <w:t>1, 6, 12, and 18</w:t>
      </w:r>
      <w:r w:rsidR="003871F6">
        <w:t xml:space="preserve"> [</w:t>
      </w:r>
      <w:r w:rsidR="005A13CE">
        <w:fldChar w:fldCharType="begin"/>
      </w:r>
      <w:r w:rsidR="005A13CE">
        <w:instrText xml:space="preserve"> REF _Ref204163928 \r \h </w:instrText>
      </w:r>
      <w:r w:rsidR="005A13CE">
        <w:fldChar w:fldCharType="separate"/>
      </w:r>
      <w:r w:rsidR="006F2C26">
        <w:t>4</w:t>
      </w:r>
      <w:r w:rsidR="005A13CE">
        <w:fldChar w:fldCharType="end"/>
      </w:r>
      <w:r w:rsidR="003871F6">
        <w:t>]</w:t>
      </w:r>
      <w:r w:rsidR="00E8231C">
        <w:t>, perform</w:t>
      </w:r>
      <w:r w:rsidR="0038491B">
        <w:t>ed</w:t>
      </w:r>
      <w:r w:rsidR="00E8231C">
        <w:t xml:space="preserve"> a summation to merge the features, and applie</w:t>
      </w:r>
      <w:r w:rsidR="0038491B">
        <w:t>d</w:t>
      </w:r>
      <w:r w:rsidR="00E8231C">
        <w:t xml:space="preserve"> a BN and ReLU activation. </w:t>
      </w:r>
    </w:p>
    <w:p w14:paraId="033FDC4E" w14:textId="77777777" w:rsidR="00D45BEB" w:rsidRDefault="00A933FE" w:rsidP="00D45BEB">
      <w:r w:rsidRPr="00A933FE">
        <w:t xml:space="preserve">Attention Gate blocks were introduced to selectively propagate relevant features during upsampling. </w:t>
      </w:r>
      <w:r w:rsidR="004A2CA1" w:rsidRPr="004A2CA1">
        <w:t>They compute spatial attention maps via 1×1 convolutions and ReLU-sigmoid activation, suppressing irrelevant activations and enhancing decoder focus on the ablation zone.</w:t>
      </w:r>
    </w:p>
    <w:p w14:paraId="6FECDCC2" w14:textId="7D0FDD8B" w:rsidR="000015AB" w:rsidRDefault="00125271" w:rsidP="00D45BEB">
      <w:r w:rsidRPr="00125271">
        <w:t xml:space="preserve">The network </w:t>
      </w:r>
      <w:r w:rsidR="00C90C12">
        <w:t>was</w:t>
      </w:r>
      <w:r w:rsidRPr="00125271">
        <w:t xml:space="preserve"> optimized with Adam (learning rate 10⁻⁴, batch size 4) and </w:t>
      </w:r>
      <w:r w:rsidR="007A3149">
        <w:t xml:space="preserve">a custom </w:t>
      </w:r>
      <w:r w:rsidRPr="00125271">
        <w:t>combined loss of Log-Dice (α = 0.7) and binary cross-entropy (α = 0.3</w:t>
      </w:r>
      <w:r w:rsidR="00442BEE">
        <w:t>)</w:t>
      </w:r>
      <w:r w:rsidRPr="00125271">
        <w:t xml:space="preserve">, </w:t>
      </w:r>
      <w:r w:rsidR="00414B70">
        <w:t xml:space="preserve">as </w:t>
      </w:r>
      <w:r w:rsidR="006978F3" w:rsidRPr="006978F3">
        <w:t>Dice addresses class imbalance, while BCE improves per-pixel calibration</w:t>
      </w:r>
      <w:r w:rsidR="00414B70" w:rsidRPr="00414B70">
        <w:t>, giving probabilistic outputs that can be further used for uncertainty estimation</w:t>
      </w:r>
      <w:r w:rsidRPr="00125271">
        <w:t xml:space="preserve">. Early stopping (patience = 50) and Reduce-LR-on-Plateau (factor 0.1, patience = 15) </w:t>
      </w:r>
      <w:r w:rsidR="002D4BB4">
        <w:t>were</w:t>
      </w:r>
      <w:r w:rsidRPr="00125271">
        <w:t xml:space="preserve"> employed to prevent over-fitting and facilitate convergence.</w:t>
      </w:r>
      <w:r w:rsidR="00646FE0">
        <w:t xml:space="preserve"> The final combined loss is:</w:t>
      </w:r>
    </w:p>
    <w:p w14:paraId="778C9C07" w14:textId="16199D74" w:rsidR="00B45D1E" w:rsidRPr="00DB1539" w:rsidRDefault="006C376D" w:rsidP="006C376D">
      <w:pPr>
        <w:pStyle w:val="equation"/>
      </w:pPr>
      <w:r>
        <w:lastRenderedPageBreak/>
        <w:tab/>
      </w:r>
      <w:bookmarkStart w:id="1" w:name="_Ref201074071"/>
      <m:oMath>
        <m:r>
          <w:rPr>
            <w:rFonts w:ascii="Cambria Math" w:hAnsi="Cambria Math"/>
          </w:rPr>
          <m:t>CombinedLoss</m:t>
        </m:r>
        <m:d>
          <m:dPr>
            <m:ctrlPr>
              <w:rPr>
                <w:rFonts w:ascii="Cambria Math" w:hAnsi="Cambria Math"/>
              </w:rPr>
            </m:ctrlPr>
          </m:dPr>
          <m:e>
            <m:r>
              <w:rPr>
                <w:rFonts w:ascii="Cambria Math" w:hAnsi="Cambria Math"/>
              </w:rPr>
              <m:t>y</m:t>
            </m:r>
            <m:r>
              <m:rPr>
                <m:sty m:val="p"/>
              </m:rPr>
              <w:rPr>
                <w:rFonts w:ascii="Cambria Math" w:hAnsi="Cambria Math"/>
              </w:rPr>
              <m:t>, ŷ</m:t>
            </m:r>
          </m:e>
        </m:d>
        <m:r>
          <m:rPr>
            <m:sty m:val="p"/>
          </m:rPr>
          <w:rPr>
            <w:rFonts w:ascii="Cambria Math" w:hAnsi="Cambria Math"/>
          </w:rPr>
          <m:t>=</m:t>
        </m:r>
        <m:r>
          <w:rPr>
            <w:rFonts w:ascii="Cambria Math" w:hAnsi="Cambria Math"/>
          </w:rPr>
          <m:t>α</m:t>
        </m:r>
        <m:r>
          <m:rPr>
            <m:sty m:val="p"/>
          </m:rPr>
          <w:rPr>
            <w:rFonts w:ascii="Cambria Math" w:hAnsi="Cambria Math"/>
          </w:rPr>
          <m:t>*</m:t>
        </m:r>
        <m:r>
          <w:rPr>
            <w:rFonts w:ascii="Cambria Math" w:hAnsi="Cambria Math"/>
          </w:rPr>
          <m:t>LogDiceLoss</m:t>
        </m:r>
        <m:d>
          <m:dPr>
            <m:ctrlPr>
              <w:rPr>
                <w:rFonts w:ascii="Cambria Math" w:hAnsi="Cambria Math"/>
              </w:rPr>
            </m:ctrlPr>
          </m:dPr>
          <m:e>
            <m:r>
              <w:rPr>
                <w:rFonts w:ascii="Cambria Math" w:hAnsi="Cambria Math"/>
              </w:rPr>
              <m:t>y</m:t>
            </m:r>
            <m:r>
              <m:rPr>
                <m:sty m:val="p"/>
              </m:rPr>
              <w:rPr>
                <w:rFonts w:ascii="Cambria Math" w:hAnsi="Cambria Math"/>
              </w:rPr>
              <m:t>, ŷ</m:t>
            </m:r>
          </m:e>
        </m:d>
        <m:r>
          <m:rPr>
            <m:sty m:val="p"/>
          </m:rPr>
          <w:rPr>
            <w:rFonts w:ascii="Cambria Math" w:hAnsi="Cambria Math"/>
          </w:rPr>
          <m:t>+</m:t>
        </m:r>
        <m:d>
          <m:dPr>
            <m:ctrlPr>
              <w:rPr>
                <w:rFonts w:ascii="Cambria Math" w:hAnsi="Cambria Math"/>
              </w:rPr>
            </m:ctrlPr>
          </m:dPr>
          <m:e>
            <m:r>
              <m:rPr>
                <m:sty m:val="p"/>
              </m:rPr>
              <w:rPr>
                <w:rFonts w:ascii="Cambria Math" w:hAnsi="Cambria Math"/>
              </w:rPr>
              <m:t>1-</m:t>
            </m:r>
            <m:r>
              <w:rPr>
                <w:rFonts w:ascii="Cambria Math" w:hAnsi="Cambria Math"/>
              </w:rPr>
              <m:t>α</m:t>
            </m:r>
          </m:e>
        </m:d>
        <m:r>
          <m:rPr>
            <m:sty m:val="p"/>
          </m:rPr>
          <w:rPr>
            <w:rFonts w:ascii="Cambria Math" w:hAnsi="Cambria Math"/>
          </w:rPr>
          <m:t>*</m:t>
        </m:r>
        <m:r>
          <w:rPr>
            <w:rFonts w:ascii="Cambria Math" w:hAnsi="Cambria Math"/>
          </w:rPr>
          <m:t>BCE</m:t>
        </m:r>
        <m:r>
          <m:rPr>
            <m:sty m:val="p"/>
          </m:rPr>
          <w:rPr>
            <w:rFonts w:ascii="Cambria Math" w:hAnsi="Cambria Math"/>
          </w:rPr>
          <m:t>(</m:t>
        </m:r>
        <m:r>
          <w:rPr>
            <w:rFonts w:ascii="Cambria Math" w:hAnsi="Cambria Math"/>
          </w:rPr>
          <m:t>y</m:t>
        </m:r>
        <m:r>
          <m:rPr>
            <m:sty m:val="p"/>
          </m:rPr>
          <w:rPr>
            <w:rFonts w:ascii="Cambria Math" w:hAnsi="Cambria Math"/>
          </w:rPr>
          <m:t>,ŷ)</m:t>
        </m:r>
      </m:oMath>
      <w:r w:rsidR="00DB1539">
        <w:tab/>
        <w:t>(</w:t>
      </w:r>
      <w:r>
        <w:fldChar w:fldCharType="begin"/>
      </w:r>
      <w:r>
        <w:instrText xml:space="preserve"> SEQ Equation \* ARABIC </w:instrText>
      </w:r>
      <w:r>
        <w:fldChar w:fldCharType="separate"/>
      </w:r>
      <w:r w:rsidR="006F2C26">
        <w:rPr>
          <w:noProof/>
        </w:rPr>
        <w:t>1</w:t>
      </w:r>
      <w:r>
        <w:fldChar w:fldCharType="end"/>
      </w:r>
      <w:r w:rsidR="00DB1539">
        <w:t>)</w:t>
      </w:r>
      <w:bookmarkEnd w:id="1"/>
    </w:p>
    <w:p w14:paraId="5053C45A" w14:textId="3F99F404" w:rsidR="006850D3" w:rsidRDefault="00B45D1E" w:rsidP="009B2C08">
      <w:pPr>
        <w:pStyle w:val="p1a"/>
      </w:pPr>
      <w:r w:rsidRPr="009B2C08">
        <w:t>where y is the ground truth, ŷ is the prediction, and α is set to 0.7.</w:t>
      </w:r>
      <w:r w:rsidR="009122A7" w:rsidRPr="009B2C08">
        <w:t xml:space="preserve"> </w:t>
      </w:r>
    </w:p>
    <w:p w14:paraId="716847C3" w14:textId="06D6BB81" w:rsidR="009B2C08" w:rsidRDefault="00ED1FC6" w:rsidP="00D55CF3">
      <w:r>
        <w:t xml:space="preserve">For each of the five patient-wise folds, </w:t>
      </w:r>
      <w:r w:rsidR="00D55CF3">
        <w:t xml:space="preserve">we trained five instances of XBoundNet++ with differing seeds, yielding 25 independent models in total. Altering the seed </w:t>
      </w:r>
      <w:r w:rsidR="00B95B8E">
        <w:t>affects</w:t>
      </w:r>
      <w:r w:rsidR="00D55CF3">
        <w:t xml:space="preserve"> </w:t>
      </w:r>
      <w:r w:rsidR="00D55CF3" w:rsidRPr="00D55CF3">
        <w:t xml:space="preserve">weight </w:t>
      </w:r>
      <w:r w:rsidR="00D55CF3">
        <w:t>initialization</w:t>
      </w:r>
      <w:r w:rsidR="00D55CF3" w:rsidRPr="00D55CF3">
        <w:t xml:space="preserve">, </w:t>
      </w:r>
      <w:r w:rsidR="00B95B8E">
        <w:t xml:space="preserve">alters </w:t>
      </w:r>
      <w:r w:rsidR="00D55CF3" w:rsidRPr="00D55CF3">
        <w:t>the stochastic augmentation stream, and</w:t>
      </w:r>
      <w:r w:rsidR="00B95B8E">
        <w:t xml:space="preserve"> changes</w:t>
      </w:r>
      <w:r w:rsidR="00D55CF3" w:rsidRPr="00D55CF3">
        <w:t xml:space="preserve"> the sequence of dropout masks encountered during optimization</w:t>
      </w:r>
      <w:r w:rsidR="00D55CF3">
        <w:t xml:space="preserve">. </w:t>
      </w:r>
      <w:r w:rsidR="00D55CF3" w:rsidRPr="00D55CF3">
        <w:t>The resulting ensemble enhances predictive stability</w:t>
      </w:r>
      <w:r w:rsidR="00710972">
        <w:t>, generalizes the small dataset,</w:t>
      </w:r>
      <w:r w:rsidR="00D55CF3" w:rsidRPr="00D55CF3">
        <w:t xml:space="preserve"> and forms the basis for the uncertainty analysis described in the next section</w:t>
      </w:r>
      <w:r w:rsidR="00D55CF3">
        <w:t xml:space="preserve">. </w:t>
      </w:r>
    </w:p>
    <w:p w14:paraId="52A66A0D" w14:textId="6FE9D3DC" w:rsidR="005345E1" w:rsidRDefault="005345E1" w:rsidP="005345E1">
      <w:pPr>
        <w:pStyle w:val="figurecaption"/>
      </w:pPr>
      <w:r w:rsidRPr="005345E1">
        <w:drawing>
          <wp:inline distT="0" distB="0" distL="0" distR="0" wp14:anchorId="77F80484" wp14:editId="664D4D42">
            <wp:extent cx="3985326" cy="2020704"/>
            <wp:effectExtent l="0" t="0" r="0" b="0"/>
            <wp:docPr id="10541173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a:extLst>
                        <a:ext uri="{28A0092B-C50C-407E-A947-70E740481C1C}">
                          <a14:useLocalDpi xmlns:a14="http://schemas.microsoft.com/office/drawing/2010/main" val="0"/>
                        </a:ext>
                      </a:extLst>
                    </a:blip>
                    <a:srcRect t="2272" b="2338"/>
                    <a:stretch>
                      <a:fillRect/>
                    </a:stretch>
                  </pic:blipFill>
                  <pic:spPr bwMode="auto">
                    <a:xfrm>
                      <a:off x="0" y="0"/>
                      <a:ext cx="4015470" cy="2035988"/>
                    </a:xfrm>
                    <a:prstGeom prst="rect">
                      <a:avLst/>
                    </a:prstGeom>
                    <a:noFill/>
                    <a:ln>
                      <a:noFill/>
                    </a:ln>
                    <a:extLst>
                      <a:ext uri="{53640926-AAD7-44D8-BBD7-CCE9431645EC}">
                        <a14:shadowObscured xmlns:a14="http://schemas.microsoft.com/office/drawing/2010/main"/>
                      </a:ext>
                    </a:extLst>
                  </pic:spPr>
                </pic:pic>
              </a:graphicData>
            </a:graphic>
          </wp:inline>
        </w:drawing>
      </w:r>
    </w:p>
    <w:p w14:paraId="50153909" w14:textId="2278E5FC" w:rsidR="005345E1" w:rsidRPr="005345E1" w:rsidRDefault="005345E1" w:rsidP="005345E1">
      <w:pPr>
        <w:pStyle w:val="figurecaption"/>
      </w:pPr>
      <w:bookmarkStart w:id="2" w:name="_Ref205233892"/>
      <w:r>
        <w:rPr>
          <w:b/>
        </w:rPr>
        <w:t xml:space="preserve">Fig. </w:t>
      </w:r>
      <w:r>
        <w:rPr>
          <w:b/>
        </w:rPr>
        <w:fldChar w:fldCharType="begin"/>
      </w:r>
      <w:r>
        <w:rPr>
          <w:b/>
        </w:rPr>
        <w:instrText xml:space="preserve"> SEQ "Figure" \* MERGEFORMAT </w:instrText>
      </w:r>
      <w:r>
        <w:rPr>
          <w:b/>
        </w:rPr>
        <w:fldChar w:fldCharType="separate"/>
      </w:r>
      <w:r w:rsidR="006F2C26">
        <w:rPr>
          <w:b/>
          <w:noProof/>
        </w:rPr>
        <w:t>2</w:t>
      </w:r>
      <w:r>
        <w:rPr>
          <w:b/>
        </w:rPr>
        <w:fldChar w:fldCharType="end"/>
      </w:r>
      <w:bookmarkEnd w:id="2"/>
      <w:r>
        <w:rPr>
          <w:b/>
        </w:rPr>
        <w:t>.</w:t>
      </w:r>
      <w:r>
        <w:t xml:space="preserve"> </w:t>
      </w:r>
      <w:r>
        <w:t xml:space="preserve">Network pipeline and architecture with layer-wise activation maps. </w:t>
      </w:r>
    </w:p>
    <w:p w14:paraId="1B9CA734" w14:textId="7871990D" w:rsidR="0075517E" w:rsidRDefault="0075517E" w:rsidP="0075517E">
      <w:pPr>
        <w:pStyle w:val="heading2"/>
      </w:pPr>
      <w:r>
        <w:t>Layer-wise Heatmap Generation</w:t>
      </w:r>
    </w:p>
    <w:p w14:paraId="33203500" w14:textId="55713FD3" w:rsidR="0075517E" w:rsidRDefault="00DA797A" w:rsidP="0075517E">
      <w:pPr>
        <w:pStyle w:val="p1a"/>
      </w:pPr>
      <w:r>
        <w:t>We</w:t>
      </w:r>
      <w:r w:rsidR="00DB0EC4">
        <w:t xml:space="preserve"> propose a custom </w:t>
      </w:r>
      <w:r w:rsidRPr="00DA797A">
        <w:rPr>
          <w:lang w:val="en-CA"/>
        </w:rPr>
        <w:t>Gradient-weighted Class Activation Mapping</w:t>
      </w:r>
      <w:r w:rsidRPr="00DA797A">
        <w:t xml:space="preserve"> </w:t>
      </w:r>
      <w:r>
        <w:t>(</w:t>
      </w:r>
      <w:r w:rsidR="00DB0EC4">
        <w:t>Grad-CAM</w:t>
      </w:r>
      <w:r>
        <w:t>)</w:t>
      </w:r>
      <w:r w:rsidR="00DB0EC4">
        <w:t xml:space="preserve"> </w:t>
      </w:r>
      <w:r>
        <w:t>[</w:t>
      </w:r>
      <w:r w:rsidR="005A13CE">
        <w:fldChar w:fldCharType="begin"/>
      </w:r>
      <w:r w:rsidR="005A13CE">
        <w:instrText xml:space="preserve"> REF _Ref204163946 \r \h </w:instrText>
      </w:r>
      <w:r w:rsidR="005A13CE">
        <w:fldChar w:fldCharType="separate"/>
      </w:r>
      <w:r w:rsidR="006F2C26">
        <w:t>24</w:t>
      </w:r>
      <w:r w:rsidR="005A13CE">
        <w:fldChar w:fldCharType="end"/>
      </w:r>
      <w:r>
        <w:t xml:space="preserve">] </w:t>
      </w:r>
      <w:r w:rsidR="00DB0EC4">
        <w:t>method</w:t>
      </w:r>
      <w:r w:rsidR="00CE07F7">
        <w:t xml:space="preserve"> that </w:t>
      </w:r>
      <w:r w:rsidR="00DB0EC4">
        <w:t>helps visualize which regions of a</w:t>
      </w:r>
      <w:r w:rsidR="00CE07F7">
        <w:t xml:space="preserve">n </w:t>
      </w:r>
      <w:r w:rsidR="00DB0EC4">
        <w:t>image had the most influence on the model by analyzing gradient</w:t>
      </w:r>
      <w:r w:rsidR="00884761">
        <w:t xml:space="preserve">-weighted </w:t>
      </w:r>
      <w:r w:rsidR="00DB0EC4">
        <w:t>activations</w:t>
      </w:r>
      <w:r w:rsidR="00884761">
        <w:t xml:space="preserve"> that serve as spatial attention maps.</w:t>
      </w:r>
      <w:r w:rsidR="00DB0EC4">
        <w:t xml:space="preserve"> First, the image </w:t>
      </w:r>
      <w:r w:rsidR="00B95B8E">
        <w:t>is</w:t>
      </w:r>
      <w:r w:rsidR="005920E2">
        <w:t xml:space="preserve"> </w:t>
      </w:r>
      <w:r w:rsidR="00CE07F7">
        <w:t xml:space="preserve">processed by the model, </w:t>
      </w:r>
      <w:r w:rsidR="00DB0EC4">
        <w:t xml:space="preserve">a class prediction is made, and during backpropagation, the gradients of the prediction are computed </w:t>
      </w:r>
      <w:r w:rsidR="003F4CA6">
        <w:t>for</w:t>
      </w:r>
      <w:r w:rsidR="00DB0EC4">
        <w:t xml:space="preserve"> the feature map at the chosen convolutional layer. Finally, </w:t>
      </w:r>
      <w:r w:rsidR="00CE07F7">
        <w:t xml:space="preserve">the results are passed through </w:t>
      </w:r>
      <w:r w:rsidR="00DB0EC4">
        <w:t xml:space="preserve">a ReLU activation (and upsampled if necessary) to produce the heatmap for any given convolutional layer in the network. </w:t>
      </w:r>
    </w:p>
    <w:p w14:paraId="481337AE" w14:textId="48A671DC" w:rsidR="00DB0EC4" w:rsidRPr="00DB0EC4" w:rsidRDefault="00DB0EC4" w:rsidP="00DB0EC4">
      <w:r>
        <w:t xml:space="preserve">We then extract heatmaps from every convolutional block across the network to observe how feature abstraction evolves at different depths. This strategy allows us to visually trace the information flow and decision-making within the network, revealing where and how the network’s focus shifts, from low-level texture extraction to high-level semantic boundary recognition. </w:t>
      </w:r>
    </w:p>
    <w:p w14:paraId="21F6E3D5" w14:textId="45AB3CA2" w:rsidR="006237C2" w:rsidRDefault="006850D3" w:rsidP="00DA797A">
      <w:pPr>
        <w:pStyle w:val="heading2"/>
      </w:pPr>
      <w:r>
        <w:lastRenderedPageBreak/>
        <w:t>Model</w:t>
      </w:r>
      <w:r w:rsidR="008F56AB">
        <w:t xml:space="preserve"> I</w:t>
      </w:r>
      <w:r>
        <w:t xml:space="preserve">nference and </w:t>
      </w:r>
      <w:r w:rsidR="00D55CF3">
        <w:t>Uncertainty Estimation</w:t>
      </w:r>
    </w:p>
    <w:p w14:paraId="23F2735D" w14:textId="52B8C227" w:rsidR="00570064" w:rsidRPr="006237C2" w:rsidRDefault="006237C2" w:rsidP="008514C2">
      <w:pPr>
        <w:ind w:firstLine="0"/>
        <w:rPr>
          <w:lang w:val="en-CA"/>
        </w:rPr>
      </w:pPr>
      <w:r w:rsidRPr="00707AE1">
        <w:t>During training, dropout mitigates over-fitting</w:t>
      </w:r>
      <w:r>
        <w:t xml:space="preserve">. </w:t>
      </w:r>
      <w:r w:rsidR="00DA797A">
        <w:t>During inference</w:t>
      </w:r>
      <w:r w:rsidR="0084346A">
        <w:t xml:space="preserve">, the five seed-specific trained network models retained from each outer fold are evaluated with dropout kept active. For every unseen test slice, we generate 50 stochastic outputs using </w:t>
      </w:r>
      <w:r w:rsidR="00DA797A">
        <w:t xml:space="preserve">Bayesian </w:t>
      </w:r>
      <w:r w:rsidR="0084346A">
        <w:t xml:space="preserve">MC dropout, yielding a collection of 250 predictions per slice. We then average this collection to create an ensemble-predictor, producing a probability map </w:t>
      </w:r>
      <m:oMath>
        <m:r>
          <w:rPr>
            <w:rFonts w:ascii="Cambria Math" w:hAnsi="Cambria Math"/>
          </w:rPr>
          <m:t>p</m:t>
        </m:r>
      </m:oMath>
      <w:r w:rsidR="00C26921">
        <w:t xml:space="preserve"> </w:t>
      </w:r>
      <w:r w:rsidR="0084346A">
        <w:t>for KAZ segmentation</w:t>
      </w:r>
      <w:r w:rsidR="00DA797A">
        <w:t xml:space="preserve">. </w:t>
      </w:r>
    </w:p>
    <w:p w14:paraId="52179A7C" w14:textId="2F9C7899" w:rsidR="00FE4E95" w:rsidRDefault="00434E03" w:rsidP="00FE4E95">
      <w:r>
        <w:t>We use the probability map to generate an uncertainty map using normalized entropy,</w:t>
      </w:r>
      <w:r w:rsidRPr="00434E03">
        <w:rPr>
          <w:rFonts w:ascii="Cambria Math" w:hAnsi="Cambria Math"/>
          <w:i/>
        </w:rPr>
        <w:t xml:space="preserve"> </w:t>
      </w:r>
      <m:oMath>
        <m:r>
          <w:rPr>
            <w:rFonts w:ascii="Cambria Math" w:hAnsi="Cambria Math"/>
          </w:rPr>
          <m:t>H</m:t>
        </m:r>
      </m:oMath>
      <w:r>
        <w:t xml:space="preserve">, as a measure of uncertainty as portrayed </w:t>
      </w:r>
      <w:r w:rsidR="00646FE0">
        <w:t>below:</w:t>
      </w:r>
    </w:p>
    <w:p w14:paraId="6FDC3688" w14:textId="5B959A55" w:rsidR="00A44DA2" w:rsidRPr="00A44DA2" w:rsidRDefault="00434E03" w:rsidP="007656EF">
      <w:pPr>
        <w:pStyle w:val="equation"/>
      </w:pPr>
      <w:r>
        <w:tab/>
      </w:r>
      <w:bookmarkStart w:id="3" w:name="_Ref201143869"/>
      <m:oMath>
        <m:r>
          <w:rPr>
            <w:rFonts w:ascii="Cambria Math" w:hAnsi="Cambria Math"/>
          </w:rPr>
          <m:t>H=-[p</m:t>
        </m:r>
        <m:func>
          <m:funcPr>
            <m:ctrlPr>
              <w:rPr>
                <w:rFonts w:ascii="Cambria Math" w:hAnsi="Cambria Math"/>
                <w:i/>
              </w:rPr>
            </m:ctrlPr>
          </m:funcPr>
          <m:fName>
            <m:r>
              <m:rPr>
                <m:sty m:val="p"/>
              </m:rPr>
              <w:rPr>
                <w:rFonts w:ascii="Cambria Math" w:hAnsi="Cambria Math"/>
              </w:rPr>
              <m:t>log</m:t>
            </m:r>
          </m:fName>
          <m:e>
            <m:d>
              <m:dPr>
                <m:ctrlPr>
                  <w:rPr>
                    <w:rFonts w:ascii="Cambria Math" w:hAnsi="Cambria Math"/>
                    <w:i/>
                  </w:rPr>
                </m:ctrlPr>
              </m:dPr>
              <m:e>
                <m:r>
                  <w:rPr>
                    <w:rFonts w:ascii="Cambria Math" w:hAnsi="Cambria Math"/>
                  </w:rPr>
                  <m:t>p</m:t>
                </m:r>
              </m:e>
            </m:d>
          </m:e>
        </m:func>
        <m:r>
          <w:rPr>
            <w:rFonts w:ascii="Cambria Math" w:hAnsi="Cambria Math"/>
          </w:rPr>
          <m:t>+(1-p)</m:t>
        </m:r>
        <m:func>
          <m:funcPr>
            <m:ctrlPr>
              <w:rPr>
                <w:rFonts w:ascii="Cambria Math" w:hAnsi="Cambria Math"/>
                <w:i/>
              </w:rPr>
            </m:ctrlPr>
          </m:funcPr>
          <m:fName>
            <m:r>
              <m:rPr>
                <m:sty m:val="p"/>
              </m:rPr>
              <w:rPr>
                <w:rFonts w:ascii="Cambria Math" w:hAnsi="Cambria Math"/>
              </w:rPr>
              <m:t>log</m:t>
            </m:r>
          </m:fName>
          <m:e>
            <m:r>
              <w:rPr>
                <w:rFonts w:ascii="Cambria Math" w:hAnsi="Cambria Math"/>
              </w:rPr>
              <m:t>(1-p)</m:t>
            </m:r>
          </m:e>
        </m:func>
        <m:r>
          <w:rPr>
            <w:rFonts w:ascii="Cambria Math" w:hAnsi="Cambria Math"/>
          </w:rPr>
          <m:t>]</m:t>
        </m:r>
      </m:oMath>
      <w:r w:rsidR="00646FE0">
        <w:t>.</w:t>
      </w:r>
      <w:r>
        <w:tab/>
        <w:t>(</w:t>
      </w:r>
      <w:r>
        <w:fldChar w:fldCharType="begin"/>
      </w:r>
      <w:r>
        <w:instrText xml:space="preserve"> SEQ Equation \* ARABIC </w:instrText>
      </w:r>
      <w:r>
        <w:fldChar w:fldCharType="separate"/>
      </w:r>
      <w:r w:rsidR="006F2C26">
        <w:rPr>
          <w:noProof/>
        </w:rPr>
        <w:t>2</w:t>
      </w:r>
      <w:r>
        <w:fldChar w:fldCharType="end"/>
      </w:r>
      <w:r>
        <w:t>)</w:t>
      </w:r>
      <w:bookmarkEnd w:id="3"/>
    </w:p>
    <w:p w14:paraId="39F9733D" w14:textId="625EC112" w:rsidR="00A958B6" w:rsidRDefault="007656EF" w:rsidP="00A958B6">
      <w:r>
        <w:t xml:space="preserve">We pool the raw </w:t>
      </w:r>
      <w:r w:rsidR="002657FD">
        <w:t>predictions</w:t>
      </w:r>
      <w:r>
        <w:t xml:space="preserve"> of the validation slices </w:t>
      </w:r>
      <w:r w:rsidR="002657FD">
        <w:t>and fit a one-dimensional logistic-regression calibrator. The fitted sigmoid is saved and applied to all test-set probabilities, producing a calibrated map</w:t>
      </w:r>
      <w:r w:rsidR="006D6E78">
        <w:t>. W</w:t>
      </w:r>
      <w:r w:rsidR="002657FD">
        <w:t xml:space="preserve">e then </w:t>
      </w:r>
      <w:r w:rsidR="006D6E78">
        <w:t>use</w:t>
      </w:r>
      <w:r w:rsidR="002657FD">
        <w:t xml:space="preserve"> a 0.4 threshold to</w:t>
      </w:r>
      <w:r w:rsidR="003F4CA6">
        <w:t xml:space="preserve"> binarize </w:t>
      </w:r>
      <w:r w:rsidR="002657FD">
        <w:t xml:space="preserve">the prediction so that values are either 0 or 1. Next, we </w:t>
      </w:r>
      <w:r w:rsidR="006D6E78">
        <w:t xml:space="preserve">perform </w:t>
      </w:r>
      <w:r w:rsidR="002657FD">
        <w:t xml:space="preserve">a morphological closing operation to seal small holes or gaps in the prediction if necessary. We also </w:t>
      </w:r>
      <w:r w:rsidR="0038491B">
        <w:t>examined whether</w:t>
      </w:r>
      <w:r w:rsidR="002657FD">
        <w:t xml:space="preserve"> numerous disconnected components</w:t>
      </w:r>
      <w:r w:rsidR="0038491B">
        <w:t xml:space="preserve"> were present</w:t>
      </w:r>
      <w:r w:rsidR="002657FD">
        <w:t xml:space="preserve">, in which case the largest foreground component is </w:t>
      </w:r>
      <w:r w:rsidR="0040649F">
        <w:t>retained,</w:t>
      </w:r>
      <w:r w:rsidR="002657FD">
        <w:t xml:space="preserve"> and all other objects are suppressed. This </w:t>
      </w:r>
      <w:r w:rsidR="0038491B">
        <w:t>didn’t</w:t>
      </w:r>
      <w:r w:rsidR="002657FD">
        <w:t xml:space="preserve"> apply to instances </w:t>
      </w:r>
      <w:r w:rsidR="0040649F">
        <w:t>where cysts are large</w:t>
      </w:r>
      <w:r w:rsidR="004140F7">
        <w:t>r</w:t>
      </w:r>
      <w:r w:rsidR="0040649F">
        <w:t xml:space="preserve"> than the KAZ</w:t>
      </w:r>
      <w:r w:rsidR="003F4CA6">
        <w:t>;</w:t>
      </w:r>
      <w:r w:rsidR="0040649F">
        <w:t xml:space="preserve"> in such a case, the second largest component is selected. </w:t>
      </w:r>
    </w:p>
    <w:p w14:paraId="0932070E" w14:textId="2DAF599D" w:rsidR="004140F7" w:rsidRPr="00FE4E95" w:rsidRDefault="004140F7" w:rsidP="00FE4E95">
      <w:r>
        <w:t xml:space="preserve">The cleaned final segmentation mask </w:t>
      </w:r>
      <w:r w:rsidR="0038491B">
        <w:t>was then</w:t>
      </w:r>
      <w:r>
        <w:t xml:space="preserve"> </w:t>
      </w:r>
      <w:r w:rsidRPr="004140F7">
        <w:t xml:space="preserve">resized to the original CT </w:t>
      </w:r>
      <w:r w:rsidR="0038491B">
        <w:t>image size</w:t>
      </w:r>
      <w:r w:rsidRPr="004140F7">
        <w:t xml:space="preserve"> (</w:t>
      </w:r>
      <w:r w:rsidR="00D54F92">
        <w:t>510</w:t>
      </w:r>
      <w:r w:rsidRPr="004140F7">
        <w:t xml:space="preserve"> × </w:t>
      </w:r>
      <w:r w:rsidR="00D54F92">
        <w:t>788</w:t>
      </w:r>
      <w:r w:rsidRPr="004140F7">
        <w:t xml:space="preserve"> </w:t>
      </w:r>
      <w:r>
        <w:t>pixels</w:t>
      </w:r>
      <w:r w:rsidRPr="004140F7">
        <w:t>) with Lanczos-4 interpolation and written to disk as an 8-bit BMP</w:t>
      </w:r>
      <w:r>
        <w:t>.</w:t>
      </w:r>
    </w:p>
    <w:p w14:paraId="3E594661" w14:textId="695C89FF" w:rsidR="00635374" w:rsidRDefault="000A0DC0" w:rsidP="00C24DEF">
      <w:pPr>
        <w:pStyle w:val="heading2"/>
      </w:pPr>
      <w:r>
        <w:t>Evaluation Metrics</w:t>
      </w:r>
    </w:p>
    <w:p w14:paraId="78233F66" w14:textId="26A8239F" w:rsidR="00AD4C0B" w:rsidRDefault="005C7AA9" w:rsidP="00AD4C0B">
      <w:pPr>
        <w:pStyle w:val="p1a"/>
      </w:pPr>
      <w:r w:rsidRPr="005C7AA9">
        <w:t>Standard pixel and distance-based metrics were used to assess both technical and clinical segmentation quality</w:t>
      </w:r>
      <w:r w:rsidR="00AD4C0B">
        <w:t xml:space="preserve">. </w:t>
      </w:r>
      <w:r w:rsidR="00294B9C">
        <w:t xml:space="preserve">These metrics </w:t>
      </w:r>
      <w:r w:rsidR="00BF7BEE">
        <w:t>include</w:t>
      </w:r>
      <w:r w:rsidR="0005347A">
        <w:t>d the</w:t>
      </w:r>
      <w:r w:rsidR="00BF7BEE">
        <w:t xml:space="preserve"> Dice similarity coefficient (DSC), Precision, Recall, and Jaccard, which provide valuable quantitative insight on boundary overlap, precision, and quality of segmentation. Boundary accuracy was evaluated </w:t>
      </w:r>
      <w:r w:rsidR="0005347A">
        <w:t>by</w:t>
      </w:r>
      <w:r w:rsidR="00BF7BEE">
        <w:t xml:space="preserve"> the mean absolute distance (MAD), mean signed distance (MSD), and Hausdorff distance (HD), to quantify the comparative closeness and surface area. </w:t>
      </w:r>
    </w:p>
    <w:p w14:paraId="1BCB54B6" w14:textId="0249FC3A" w:rsidR="00BF7BEE" w:rsidRPr="00BF7BEE" w:rsidRDefault="00B1671B" w:rsidP="00BF7BEE">
      <w:r>
        <w:t>To</w:t>
      </w:r>
      <w:r w:rsidR="00B21988">
        <w:t xml:space="preserve"> validate the segmentation uncertainty estimations, we apply thresholds</w:t>
      </w:r>
      <w:r w:rsidR="00C63C8B">
        <w:t xml:space="preserve">. </w:t>
      </w:r>
      <w:r w:rsidR="0005347A">
        <w:t>This involved normalizing</w:t>
      </w:r>
      <w:r w:rsidR="00C63C8B">
        <w:t xml:space="preserve"> the entropy estimates per slice </w:t>
      </w:r>
      <w:r w:rsidR="006D6E78">
        <w:t>ranged from</w:t>
      </w:r>
      <w:r w:rsidR="00C63C8B">
        <w:t xml:space="preserve"> 0 and 100, and </w:t>
      </w:r>
      <w:r w:rsidR="0005347A">
        <w:t>varying</w:t>
      </w:r>
      <w:r w:rsidR="00C63C8B">
        <w:t xml:space="preserve"> the thresholds</w:t>
      </w:r>
      <w:r>
        <w:t xml:space="preserve"> (T = 25, 50, 75)</w:t>
      </w:r>
      <w:r w:rsidR="00B21988">
        <w:t xml:space="preserve"> at different confidence levels</w:t>
      </w:r>
      <w:r w:rsidR="00C63C8B">
        <w:t xml:space="preserve"> as in [</w:t>
      </w:r>
      <w:r w:rsidR="005A13CE">
        <w:fldChar w:fldCharType="begin"/>
      </w:r>
      <w:r w:rsidR="005A13CE">
        <w:instrText xml:space="preserve"> REF _Ref204163970 \r \h </w:instrText>
      </w:r>
      <w:r w:rsidR="005A13CE">
        <w:fldChar w:fldCharType="separate"/>
      </w:r>
      <w:r w:rsidR="006F2C26">
        <w:t>16</w:t>
      </w:r>
      <w:r w:rsidR="005A13CE">
        <w:fldChar w:fldCharType="end"/>
      </w:r>
      <w:r w:rsidR="00C63C8B">
        <w:t>]</w:t>
      </w:r>
      <w:r w:rsidR="00B21988">
        <w:t xml:space="preserve">. </w:t>
      </w:r>
      <w:r w:rsidR="00C63C8B">
        <w:t>P</w:t>
      </w:r>
      <w:r>
        <w:t xml:space="preserve">ixels exceeding the given threshold </w:t>
      </w:r>
      <w:r w:rsidR="006D6E78">
        <w:t>were</w:t>
      </w:r>
      <w:r>
        <w:t xml:space="preserve"> labelled as uncertain</w:t>
      </w:r>
      <w:r w:rsidR="006D6E78">
        <w:t xml:space="preserve"> and</w:t>
      </w:r>
      <w:r>
        <w:t xml:space="preserve"> </w:t>
      </w:r>
      <w:r w:rsidR="00024442" w:rsidRPr="00024442">
        <w:t xml:space="preserve">the remainder </w:t>
      </w:r>
      <w:r w:rsidR="006D6E78">
        <w:t>were</w:t>
      </w:r>
      <w:r w:rsidR="00024442" w:rsidRPr="00024442">
        <w:t xml:space="preserve"> cross-checked against the </w:t>
      </w:r>
      <w:r w:rsidR="00024442">
        <w:t xml:space="preserve">annotated </w:t>
      </w:r>
      <w:r w:rsidR="00024442" w:rsidRPr="00024442">
        <w:t>mask to generate four disjoint classes: true positive</w:t>
      </w:r>
      <w:r w:rsidR="00024442">
        <w:t xml:space="preserve"> (TP) (overlapping areas)</w:t>
      </w:r>
      <w:r w:rsidR="00024442" w:rsidRPr="00024442">
        <w:t>, false positive</w:t>
      </w:r>
      <w:r w:rsidR="00024442">
        <w:t xml:space="preserve"> (FP) (over-prediction)</w:t>
      </w:r>
      <w:r w:rsidR="00024442" w:rsidRPr="00024442">
        <w:t>, false negative</w:t>
      </w:r>
      <w:r w:rsidR="00024442">
        <w:t xml:space="preserve"> (FN)</w:t>
      </w:r>
      <w:r w:rsidR="00024442" w:rsidRPr="00024442">
        <w:t xml:space="preserve"> (</w:t>
      </w:r>
      <w:r w:rsidR="00024442">
        <w:t>under-prediction</w:t>
      </w:r>
      <w:r w:rsidR="00024442" w:rsidRPr="00024442">
        <w:t xml:space="preserve">), and uncertain. </w:t>
      </w:r>
      <w:r w:rsidR="00C63C8B">
        <w:t>As</w:t>
      </w:r>
      <w:r w:rsidR="00024442">
        <w:t xml:space="preserve"> we lower</w:t>
      </w:r>
      <w:r w:rsidR="006D6E78">
        <w:t>ed</w:t>
      </w:r>
      <w:r w:rsidR="00024442">
        <w:t xml:space="preserve"> the uncertainty threshold, </w:t>
      </w:r>
      <w:r w:rsidR="00C63C8B">
        <w:t>the</w:t>
      </w:r>
      <w:r w:rsidR="00024442">
        <w:t xml:space="preserve"> FN and FP areas</w:t>
      </w:r>
      <w:r w:rsidR="00C63C8B">
        <w:t xml:space="preserve"> should </w:t>
      </w:r>
      <w:r w:rsidR="006D6E78">
        <w:t>have been</w:t>
      </w:r>
      <w:r w:rsidR="00C63C8B">
        <w:t xml:space="preserve"> filtered out</w:t>
      </w:r>
      <w:r w:rsidR="00024442">
        <w:t xml:space="preserve"> while retaining</w:t>
      </w:r>
      <w:r w:rsidR="00C63C8B">
        <w:t xml:space="preserve"> the</w:t>
      </w:r>
      <w:r w:rsidR="00024442">
        <w:t xml:space="preserve"> TP pixels. This validate</w:t>
      </w:r>
      <w:r w:rsidR="003F4CA6">
        <w:t>d</w:t>
      </w:r>
      <w:r w:rsidR="00024442">
        <w:t xml:space="preserve"> that in areas</w:t>
      </w:r>
      <w:r w:rsidR="004E6F09">
        <w:t xml:space="preserve"> </w:t>
      </w:r>
      <w:r w:rsidR="003F4CA6">
        <w:t xml:space="preserve">where </w:t>
      </w:r>
      <w:r w:rsidR="004E6F09">
        <w:t>the model is confident</w:t>
      </w:r>
      <w:r w:rsidR="006D6E78">
        <w:t>,</w:t>
      </w:r>
      <w:r w:rsidR="004E6F09">
        <w:t xml:space="preserve"> it is correct, while </w:t>
      </w:r>
      <w:r w:rsidR="003F4CA6">
        <w:t xml:space="preserve">incorrect </w:t>
      </w:r>
      <w:r w:rsidR="004E6F09">
        <w:t xml:space="preserve">areas </w:t>
      </w:r>
      <w:r w:rsidR="00C63C8B">
        <w:t xml:space="preserve">have high </w:t>
      </w:r>
      <w:r w:rsidR="004E6F09">
        <w:t>uncertainty</w:t>
      </w:r>
      <w:r w:rsidR="00554591">
        <w:t xml:space="preserve">. This permits clinical trust in areas of high model confidence. The entire </w:t>
      </w:r>
      <w:r w:rsidR="0062419A" w:rsidRPr="0062419A">
        <w:t xml:space="preserve">spatial confidence </w:t>
      </w:r>
      <w:r w:rsidR="00554591">
        <w:t>map</w:t>
      </w:r>
      <w:r w:rsidR="003F4CA6">
        <w:t>,</w:t>
      </w:r>
      <w:r w:rsidR="00554591">
        <w:t xml:space="preserve"> along with the segmentation results</w:t>
      </w:r>
      <w:r w:rsidR="006D6E78">
        <w:t>,</w:t>
      </w:r>
      <w:r w:rsidR="00554591">
        <w:t xml:space="preserve"> </w:t>
      </w:r>
      <w:r w:rsidR="006D6E78">
        <w:t>allows</w:t>
      </w:r>
      <w:r w:rsidR="00554591">
        <w:t xml:space="preserve"> a framework for</w:t>
      </w:r>
      <w:r w:rsidR="0062419A" w:rsidRPr="0062419A">
        <w:t xml:space="preserve"> downstream clinical review.</w:t>
      </w:r>
    </w:p>
    <w:p w14:paraId="0799D908" w14:textId="32B91E66" w:rsidR="00CC1BCF" w:rsidRPr="00D507DE" w:rsidRDefault="00CC1BCF" w:rsidP="00D507DE">
      <w:pPr>
        <w:pStyle w:val="heading1"/>
        <w:rPr>
          <w:rStyle w:val="heading30"/>
          <w:b/>
        </w:rPr>
      </w:pPr>
      <w:r>
        <w:lastRenderedPageBreak/>
        <w:t xml:space="preserve">Experiments and </w:t>
      </w:r>
      <w:r w:rsidR="004B65E3">
        <w:t>Results</w:t>
      </w:r>
    </w:p>
    <w:p w14:paraId="4DAF7206" w14:textId="4510D0A9" w:rsidR="00CC1BCF" w:rsidRDefault="00CC1BCF" w:rsidP="00A71235">
      <w:pPr>
        <w:pStyle w:val="heading2"/>
        <w:spacing w:before="0"/>
      </w:pPr>
      <w:r>
        <w:t>Patient Data, Preprocessing and Implementation Details</w:t>
      </w:r>
    </w:p>
    <w:p w14:paraId="2010C633" w14:textId="0C8126DC" w:rsidR="00CC1BCF" w:rsidRPr="00C27972" w:rsidRDefault="00CC1BCF" w:rsidP="00B66B37">
      <w:pPr>
        <w:pStyle w:val="Heading4"/>
        <w:rPr>
          <w:lang w:val="en-CA"/>
        </w:rPr>
      </w:pPr>
      <w:r>
        <w:rPr>
          <w:lang w:val="en-CA"/>
        </w:rPr>
        <w:t>Our pa</w:t>
      </w:r>
      <w:r w:rsidRPr="00635374">
        <w:rPr>
          <w:lang w:val="en-CA"/>
        </w:rPr>
        <w:t>tient data</w:t>
      </w:r>
      <w:r>
        <w:rPr>
          <w:lang w:val="en-CA"/>
        </w:rPr>
        <w:t>set</w:t>
      </w:r>
      <w:r w:rsidRPr="00635374">
        <w:rPr>
          <w:lang w:val="en-CA"/>
        </w:rPr>
        <w:t xml:space="preserve"> was collected </w:t>
      </w:r>
      <w:r>
        <w:rPr>
          <w:lang w:val="en-CA"/>
        </w:rPr>
        <w:t xml:space="preserve">after approval by the Western University Research Ethics Board </w:t>
      </w:r>
      <w:r w:rsidRPr="00635374">
        <w:rPr>
          <w:lang w:val="en-CA"/>
        </w:rPr>
        <w:t>using a GE Lightspeed 64-slice CT scanner</w:t>
      </w:r>
      <w:r w:rsidR="00850A32">
        <w:rPr>
          <w:lang w:val="en-CA"/>
        </w:rPr>
        <w:t xml:space="preserve"> and</w:t>
      </w:r>
      <w:r>
        <w:rPr>
          <w:lang w:val="en-CA"/>
        </w:rPr>
        <w:t xml:space="preserve"> includ</w:t>
      </w:r>
      <w:r w:rsidR="00850A32">
        <w:rPr>
          <w:lang w:val="en-CA"/>
        </w:rPr>
        <w:t>ed</w:t>
      </w:r>
      <w:r w:rsidRPr="00635374">
        <w:rPr>
          <w:lang w:val="en-CA"/>
        </w:rPr>
        <w:t xml:space="preserve"> 76 patients</w:t>
      </w:r>
      <w:r>
        <w:rPr>
          <w:lang w:val="en-CA"/>
        </w:rPr>
        <w:t>’</w:t>
      </w:r>
      <w:r w:rsidRPr="00635374">
        <w:rPr>
          <w:lang w:val="en-CA"/>
        </w:rPr>
        <w:t xml:space="preserve"> cases</w:t>
      </w:r>
      <w:r>
        <w:rPr>
          <w:lang w:val="en-CA"/>
        </w:rPr>
        <w:t>, each</w:t>
      </w:r>
      <w:r w:rsidRPr="00635374">
        <w:rPr>
          <w:lang w:val="en-CA"/>
        </w:rPr>
        <w:t xml:space="preserve"> contain</w:t>
      </w:r>
      <w:r>
        <w:rPr>
          <w:lang w:val="en-CA"/>
        </w:rPr>
        <w:t>ing</w:t>
      </w:r>
      <w:r w:rsidRPr="00635374">
        <w:rPr>
          <w:lang w:val="en-CA"/>
        </w:rPr>
        <w:t xml:space="preserve"> 12 axial CT slices </w:t>
      </w:r>
      <w:r>
        <w:rPr>
          <w:lang w:val="en-CA"/>
        </w:rPr>
        <w:t>obtained</w:t>
      </w:r>
      <w:r w:rsidRPr="00635374">
        <w:rPr>
          <w:lang w:val="en-CA"/>
        </w:rPr>
        <w:t xml:space="preserve"> post-ablation</w:t>
      </w:r>
      <w:r>
        <w:rPr>
          <w:lang w:val="en-CA"/>
        </w:rPr>
        <w:t xml:space="preserve">. All the images were </w:t>
      </w:r>
      <w:r w:rsidRPr="00635374">
        <w:rPr>
          <w:lang w:val="en-CA"/>
        </w:rPr>
        <w:t xml:space="preserve">in </w:t>
      </w:r>
      <w:r w:rsidR="00790EBE">
        <w:rPr>
          <w:lang w:val="en-CA"/>
        </w:rPr>
        <w:t>DICOM</w:t>
      </w:r>
      <w:r w:rsidRPr="00635374">
        <w:rPr>
          <w:lang w:val="en-CA"/>
        </w:rPr>
        <w:t xml:space="preserve"> format, grayscale, originally sized at 510 × 788 pixels</w:t>
      </w:r>
      <w:r>
        <w:rPr>
          <w:lang w:val="en-CA"/>
        </w:rPr>
        <w:t xml:space="preserve">, and were </w:t>
      </w:r>
      <w:r w:rsidRPr="00635374">
        <w:rPr>
          <w:lang w:val="en-CA"/>
        </w:rPr>
        <w:t>accompanied by manually annotated binary masks of the KAZ</w:t>
      </w:r>
      <w:r w:rsidR="00850A32">
        <w:rPr>
          <w:lang w:val="en-CA"/>
        </w:rPr>
        <w:t>, which were generated by an expert</w:t>
      </w:r>
      <w:r w:rsidRPr="00635374">
        <w:rPr>
          <w:lang w:val="en-CA"/>
        </w:rPr>
        <w:t>.</w:t>
      </w:r>
      <w:r>
        <w:rPr>
          <w:lang w:val="en-CA"/>
        </w:rPr>
        <w:t xml:space="preserve"> T</w:t>
      </w:r>
      <w:r w:rsidRPr="00635374">
        <w:rPr>
          <w:lang w:val="en-CA"/>
        </w:rPr>
        <w:t xml:space="preserve">he 3D CT </w:t>
      </w:r>
      <w:r>
        <w:rPr>
          <w:lang w:val="en-CA"/>
        </w:rPr>
        <w:t>images</w:t>
      </w:r>
      <w:r w:rsidRPr="00635374">
        <w:rPr>
          <w:lang w:val="en-CA"/>
        </w:rPr>
        <w:t xml:space="preserve"> were resliced radially </w:t>
      </w:r>
      <w:r>
        <w:rPr>
          <w:lang w:val="en-CA"/>
        </w:rPr>
        <w:t xml:space="preserve">around an approximate vertical axis of the KAZ </w:t>
      </w:r>
      <w:r w:rsidRPr="00635374">
        <w:rPr>
          <w:lang w:val="en-CA"/>
        </w:rPr>
        <w:t>every 15</w:t>
      </w:r>
      <w:r>
        <w:rPr>
          <w:lang w:val="en-CA"/>
        </w:rPr>
        <w:t>°</w:t>
      </w:r>
      <w:r w:rsidRPr="00635374">
        <w:rPr>
          <w:lang w:val="en-CA"/>
        </w:rPr>
        <w:t xml:space="preserve"> into 2D </w:t>
      </w:r>
      <w:r>
        <w:rPr>
          <w:lang w:val="en-CA"/>
        </w:rPr>
        <w:t>CT images</w:t>
      </w:r>
      <w:r w:rsidRPr="00635374">
        <w:rPr>
          <w:lang w:val="en-CA"/>
        </w:rPr>
        <w:t>. This transformation ensure</w:t>
      </w:r>
      <w:r>
        <w:rPr>
          <w:lang w:val="en-CA"/>
        </w:rPr>
        <w:t>d</w:t>
      </w:r>
      <w:r w:rsidRPr="00635374">
        <w:rPr>
          <w:lang w:val="en-CA"/>
        </w:rPr>
        <w:t xml:space="preserve"> that the zone appears more consistently across </w:t>
      </w:r>
      <w:r>
        <w:rPr>
          <w:lang w:val="en-CA"/>
        </w:rPr>
        <w:t xml:space="preserve">2D image </w:t>
      </w:r>
      <w:r w:rsidRPr="00635374">
        <w:rPr>
          <w:lang w:val="en-CA"/>
        </w:rPr>
        <w:t>samples. Each slice was resized to 256 × 256 pixels for computational feasibility to fit into the model</w:t>
      </w:r>
      <w:r>
        <w:rPr>
          <w:lang w:val="en-CA"/>
        </w:rPr>
        <w:t>, resulting</w:t>
      </w:r>
      <w:r w:rsidRPr="00635374">
        <w:rPr>
          <w:lang w:val="en-CA"/>
        </w:rPr>
        <w:t xml:space="preserve"> in a dataset of 912 2D CT images</w:t>
      </w:r>
      <w:r>
        <w:rPr>
          <w:lang w:val="en-CA"/>
        </w:rPr>
        <w:t xml:space="preserve">, as </w:t>
      </w:r>
      <w:r w:rsidR="00617C92">
        <w:rPr>
          <w:lang w:val="en-CA"/>
        </w:rPr>
        <w:t>shown</w:t>
      </w:r>
      <w:r>
        <w:rPr>
          <w:lang w:val="en-CA"/>
        </w:rPr>
        <w:t xml:space="preserve"> in </w:t>
      </w:r>
      <w:r w:rsidR="001066D2">
        <w:rPr>
          <w:lang w:val="en-CA"/>
        </w:rPr>
        <w:fldChar w:fldCharType="begin"/>
      </w:r>
      <w:r w:rsidR="001066D2">
        <w:rPr>
          <w:lang w:val="en-CA"/>
        </w:rPr>
        <w:instrText xml:space="preserve"> REF _Ref201844456 \h </w:instrText>
      </w:r>
      <w:r w:rsidR="001066D2">
        <w:rPr>
          <w:lang w:val="en-CA"/>
        </w:rPr>
      </w:r>
      <w:r w:rsidR="001066D2">
        <w:rPr>
          <w:lang w:val="en-CA"/>
        </w:rPr>
        <w:fldChar w:fldCharType="separate"/>
      </w:r>
      <w:r w:rsidR="006F2C26">
        <w:rPr>
          <w:b/>
        </w:rPr>
        <w:t xml:space="preserve">Fig. </w:t>
      </w:r>
      <w:r w:rsidR="006F2C26">
        <w:rPr>
          <w:b/>
          <w:noProof/>
        </w:rPr>
        <w:t>1</w:t>
      </w:r>
      <w:r w:rsidR="001066D2">
        <w:rPr>
          <w:lang w:val="en-CA"/>
        </w:rPr>
        <w:fldChar w:fldCharType="end"/>
      </w:r>
      <w:r w:rsidR="001066D2">
        <w:rPr>
          <w:lang w:val="en-CA"/>
        </w:rPr>
        <w:t>.</w:t>
      </w:r>
    </w:p>
    <w:p w14:paraId="3E904960" w14:textId="7845B001" w:rsidR="00CC1BCF" w:rsidRDefault="00D01741" w:rsidP="00CC1BCF">
      <w:pPr>
        <w:rPr>
          <w:lang w:val="en-CA"/>
        </w:rPr>
      </w:pPr>
      <w:r>
        <w:rPr>
          <w:lang w:val="en-CA"/>
        </w:rPr>
        <w:t>We normalized pixel intensities to a [0, 1] range, and s</w:t>
      </w:r>
      <w:r w:rsidR="00CC1BCF" w:rsidRPr="00720505">
        <w:rPr>
          <w:lang w:val="en-CA"/>
        </w:rPr>
        <w:t>plit</w:t>
      </w:r>
      <w:r>
        <w:rPr>
          <w:lang w:val="en-CA"/>
        </w:rPr>
        <w:t xml:space="preserve"> the dataset</w:t>
      </w:r>
      <w:r w:rsidR="00CC1BCF" w:rsidRPr="00720505">
        <w:rPr>
          <w:lang w:val="en-CA"/>
        </w:rPr>
        <w:t xml:space="preserve"> </w:t>
      </w:r>
      <w:r>
        <w:rPr>
          <w:lang w:val="en-CA"/>
        </w:rPr>
        <w:t>by patient</w:t>
      </w:r>
      <w:r w:rsidR="00CC1BCF" w:rsidRPr="00720505">
        <w:rPr>
          <w:lang w:val="en-CA"/>
        </w:rPr>
        <w:t xml:space="preserve"> into training (64%), validation (16%), and testing (20%) sets. This ensure</w:t>
      </w:r>
      <w:r w:rsidR="006D6E78">
        <w:rPr>
          <w:lang w:val="en-CA"/>
        </w:rPr>
        <w:t xml:space="preserve">d </w:t>
      </w:r>
      <w:r w:rsidR="00CC1BCF" w:rsidRPr="00720505">
        <w:rPr>
          <w:lang w:val="en-CA"/>
        </w:rPr>
        <w:t xml:space="preserve">that slices from the same patient </w:t>
      </w:r>
      <w:r w:rsidR="00CC1BCF">
        <w:rPr>
          <w:lang w:val="en-CA"/>
        </w:rPr>
        <w:t>d</w:t>
      </w:r>
      <w:r w:rsidR="0038491B">
        <w:rPr>
          <w:lang w:val="en-CA"/>
        </w:rPr>
        <w:t>id</w:t>
      </w:r>
      <w:r w:rsidR="00CC1BCF" w:rsidRPr="00720505">
        <w:rPr>
          <w:lang w:val="en-CA"/>
        </w:rPr>
        <w:t xml:space="preserve"> not appear in multiple subsets</w:t>
      </w:r>
      <w:r w:rsidR="00CC1BCF">
        <w:rPr>
          <w:lang w:val="en-CA"/>
        </w:rPr>
        <w:t xml:space="preserve"> to avoid </w:t>
      </w:r>
      <w:r w:rsidR="00CC1BCF" w:rsidRPr="00720505">
        <w:rPr>
          <w:lang w:val="en-CA"/>
        </w:rPr>
        <w:t xml:space="preserve">model bias. To enhance model reliability and reduce variance due to dataset partitioning, a </w:t>
      </w:r>
      <w:r w:rsidR="00CC1BCF">
        <w:rPr>
          <w:lang w:val="en-CA"/>
        </w:rPr>
        <w:t xml:space="preserve">nested </w:t>
      </w:r>
      <w:r w:rsidR="00CC1BCF" w:rsidRPr="00720505">
        <w:rPr>
          <w:lang w:val="en-CA"/>
        </w:rPr>
        <w:t>5-fold patient-wise cross-validation strategy was adopted. Each fold used a unique set of patients for training, validation, and testing, ensuring that no slices from a single patient were shared across splits.</w:t>
      </w:r>
    </w:p>
    <w:p w14:paraId="03169DBC" w14:textId="270D91E7" w:rsidR="00E330F4" w:rsidRDefault="00E330F4" w:rsidP="00E330F4">
      <w:pPr>
        <w:pStyle w:val="image"/>
        <w:rPr>
          <w:lang w:val="en-CA"/>
        </w:rPr>
      </w:pPr>
      <w:r>
        <w:rPr>
          <w:noProof/>
          <w:lang w:val="en-CA"/>
        </w:rPr>
        <w:drawing>
          <wp:inline distT="0" distB="0" distL="0" distR="0" wp14:anchorId="7E13C03A" wp14:editId="018B7282">
            <wp:extent cx="2796207" cy="1879524"/>
            <wp:effectExtent l="0" t="0" r="0" b="635"/>
            <wp:docPr id="162411895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52838" cy="1917589"/>
                    </a:xfrm>
                    <a:prstGeom prst="rect">
                      <a:avLst/>
                    </a:prstGeom>
                    <a:noFill/>
                    <a:ln>
                      <a:noFill/>
                    </a:ln>
                  </pic:spPr>
                </pic:pic>
              </a:graphicData>
            </a:graphic>
          </wp:inline>
        </w:drawing>
      </w:r>
    </w:p>
    <w:p w14:paraId="731F70E6" w14:textId="48F6F3CB" w:rsidR="00E330F4" w:rsidRPr="00E330F4" w:rsidRDefault="00E330F4" w:rsidP="00E330F4">
      <w:pPr>
        <w:pStyle w:val="figurecaption"/>
        <w:jc w:val="both"/>
      </w:pPr>
      <w:bookmarkStart w:id="4" w:name="_Ref205242760"/>
      <w:r>
        <w:rPr>
          <w:b/>
        </w:rPr>
        <w:t xml:space="preserve">Fig. </w:t>
      </w:r>
      <w:r>
        <w:rPr>
          <w:b/>
        </w:rPr>
        <w:fldChar w:fldCharType="begin"/>
      </w:r>
      <w:r>
        <w:rPr>
          <w:b/>
        </w:rPr>
        <w:instrText xml:space="preserve"> SEQ "Figure" \* MERGEFORMAT </w:instrText>
      </w:r>
      <w:r>
        <w:rPr>
          <w:b/>
        </w:rPr>
        <w:fldChar w:fldCharType="separate"/>
      </w:r>
      <w:r w:rsidR="006F2C26">
        <w:rPr>
          <w:b/>
          <w:noProof/>
        </w:rPr>
        <w:t>3</w:t>
      </w:r>
      <w:r>
        <w:rPr>
          <w:b/>
        </w:rPr>
        <w:fldChar w:fldCharType="end"/>
      </w:r>
      <w:bookmarkEnd w:id="4"/>
      <w:r>
        <w:rPr>
          <w:b/>
        </w:rPr>
        <w:t>.</w:t>
      </w:r>
      <w:r>
        <w:t xml:space="preserve"> </w:t>
      </w:r>
      <w:r w:rsidRPr="00194DB7">
        <w:t>XBoundNet++</w:t>
      </w:r>
      <w:r>
        <w:t xml:space="preserve"> results for three image slices from three different patients, in each row a) Original image, showing </w:t>
      </w:r>
      <w:r w:rsidRPr="00AC3645">
        <w:rPr>
          <w:color w:val="538135" w:themeColor="accent6" w:themeShade="BF"/>
        </w:rPr>
        <w:t xml:space="preserve">model prediction contour </w:t>
      </w:r>
      <w:r>
        <w:t xml:space="preserve">and </w:t>
      </w:r>
      <w:r w:rsidRPr="00AC3645">
        <w:rPr>
          <w:color w:val="2F5496" w:themeColor="accent5" w:themeShade="BF"/>
        </w:rPr>
        <w:t>clinical annotation</w:t>
      </w:r>
      <w:r>
        <w:t xml:space="preserve">, b) Clinically annotated mask, c) </w:t>
      </w:r>
      <w:proofErr w:type="spellStart"/>
      <w:r>
        <w:t>LeXNET</w:t>
      </w:r>
      <w:proofErr w:type="spellEnd"/>
      <w:r>
        <w:t xml:space="preserve">++ prediction, d) XBoundNet++ prediction, e) The prediction attention heatmap from the convolutional layer before the sigmoid is applied. Attention shows higher gradient activation in red and thus more involvement in the resulting prediction, as it is more confident in the </w:t>
      </w:r>
      <w:proofErr w:type="spellStart"/>
      <w:r>
        <w:t>centre</w:t>
      </w:r>
      <w:proofErr w:type="spellEnd"/>
      <w:r>
        <w:t xml:space="preserve"> and is less confident at the boundaries.</w:t>
      </w:r>
    </w:p>
    <w:p w14:paraId="3E633B2A" w14:textId="7FE17D04" w:rsidR="00186F0D" w:rsidRPr="00D45BEB" w:rsidRDefault="00CC1BCF" w:rsidP="00186F0D">
      <w:r>
        <w:rPr>
          <w:lang w:val="en-CA"/>
        </w:rPr>
        <w:t xml:space="preserve">On-the-fly data augmentation was applied to expand the appearance diversity while preserving label fidelity to compensate for the relatively small dataset. </w:t>
      </w:r>
      <w:r w:rsidRPr="007C22B9">
        <w:t xml:space="preserve">Augmentations </w:t>
      </w:r>
      <w:r>
        <w:t>were</w:t>
      </w:r>
      <w:r w:rsidRPr="007C22B9">
        <w:t xml:space="preserve"> executed in TensorFlow eager mode, so a new stochastic version of every training </w:t>
      </w:r>
      <w:r>
        <w:t>image</w:t>
      </w:r>
      <w:r w:rsidRPr="007C22B9">
        <w:t xml:space="preserve"> </w:t>
      </w:r>
      <w:r>
        <w:t>was</w:t>
      </w:r>
      <w:r w:rsidRPr="007C22B9">
        <w:t xml:space="preserve"> generated </w:t>
      </w:r>
      <w:r>
        <w:t xml:space="preserve">for </w:t>
      </w:r>
      <w:r w:rsidRPr="007C22B9">
        <w:t>each epoch without materializing augmented files on disk.</w:t>
      </w:r>
      <w:r>
        <w:t xml:space="preserve"> </w:t>
      </w:r>
      <w:r>
        <w:lastRenderedPageBreak/>
        <w:t>Each slice had a 30% chance of undergoing one or more spatial transformations:</w:t>
      </w:r>
      <w:r w:rsidRPr="007C22B9">
        <w:t xml:space="preserve"> horizontal or vertical flip, translation of ±10 % of the image extent, rotation of ±20°, or isotropic zoom between 0.9 and 1.1</w:t>
      </w:r>
      <w:r>
        <w:t xml:space="preserve">. Independently, there was a </w:t>
      </w:r>
      <w:r w:rsidRPr="00EE5328">
        <w:t>30 % chance of a photometric adjustment that scales contrast between 0.8 and 1.2.</w:t>
      </w:r>
    </w:p>
    <w:p w14:paraId="537DA998" w14:textId="704CCF09" w:rsidR="00A71235" w:rsidRDefault="00A72462" w:rsidP="00186F0D">
      <w:pPr>
        <w:pStyle w:val="heading2"/>
      </w:pPr>
      <w:r>
        <w:t>Segmentation Results</w:t>
      </w:r>
    </w:p>
    <w:p w14:paraId="6B4C5384" w14:textId="601D751D" w:rsidR="00186F0D" w:rsidRDefault="006F2C26" w:rsidP="00E330F4">
      <w:pPr>
        <w:pStyle w:val="p1a"/>
      </w:pPr>
      <w:r>
        <w:fldChar w:fldCharType="begin"/>
      </w:r>
      <w:r>
        <w:instrText xml:space="preserve"> REF _Ref205242760 \h </w:instrText>
      </w:r>
      <w:r>
        <w:fldChar w:fldCharType="separate"/>
      </w:r>
      <w:r>
        <w:rPr>
          <w:b/>
        </w:rPr>
        <w:t xml:space="preserve">Fig. </w:t>
      </w:r>
      <w:r>
        <w:rPr>
          <w:b/>
          <w:noProof/>
        </w:rPr>
        <w:t>3</w:t>
      </w:r>
      <w:r>
        <w:fldChar w:fldCharType="end"/>
      </w:r>
      <w:r>
        <w:t xml:space="preserve"> </w:t>
      </w:r>
      <w:r w:rsidR="0085340B">
        <w:t>shows</w:t>
      </w:r>
      <w:r w:rsidR="00EE4C51">
        <w:t xml:space="preserve"> the original image, mask, XBoundNet++ prediction, and the corresponding attention-based heatmap. </w:t>
      </w:r>
      <w:r w:rsidR="00B6673E">
        <w:t>T</w:t>
      </w:r>
      <w:r w:rsidR="00EE4C51">
        <w:t xml:space="preserve">hese results show that the predictions generated by XBoundNet++ accurately align with the </w:t>
      </w:r>
      <w:r w:rsidR="00B6673E">
        <w:t>KAZ</w:t>
      </w:r>
      <w:r w:rsidR="00353EBD">
        <w:t xml:space="preserve"> better than LeXNET++</w:t>
      </w:r>
      <w:r w:rsidR="00EE4C51">
        <w:t>, as well as provide clarity on</w:t>
      </w:r>
      <w:r w:rsidR="00CA1595">
        <w:t xml:space="preserve"> how strong the activations are that result in the arrival to the final prediction. </w:t>
      </w:r>
      <w:r w:rsidR="00B6673E">
        <w:t xml:space="preserve">This is evident in the first </w:t>
      </w:r>
      <w:r w:rsidR="00C82C73">
        <w:t>patient</w:t>
      </w:r>
      <w:r w:rsidR="00AC3645">
        <w:t xml:space="preserve">, </w:t>
      </w:r>
      <w:r w:rsidR="00B6673E">
        <w:t xml:space="preserve">where the KAZ, annotation mask, and model prediction all agree and cover the same area inside the kidney. </w:t>
      </w:r>
      <w:r w:rsidR="00C82C73">
        <w:t xml:space="preserve">While the second image may </w:t>
      </w:r>
      <w:r w:rsidR="0005347A">
        <w:t>appear to be</w:t>
      </w:r>
      <w:r w:rsidR="00C82C73">
        <w:t xml:space="preserve"> over-segment</w:t>
      </w:r>
      <w:r w:rsidR="0005347A">
        <w:t>ed</w:t>
      </w:r>
      <w:r w:rsidR="00C82C73">
        <w:t>, it is due to an incomplete annotation mask</w:t>
      </w:r>
      <w:r w:rsidR="00AC3645">
        <w:t>. T</w:t>
      </w:r>
      <w:r w:rsidR="00C82C73" w:rsidRPr="00C82C73">
        <w:t>he model correctly delineate</w:t>
      </w:r>
      <w:r w:rsidR="0005347A">
        <w:t>d</w:t>
      </w:r>
      <w:r w:rsidR="00C82C73" w:rsidRPr="00C82C73">
        <w:t xml:space="preserve"> the full ablation zone, </w:t>
      </w:r>
      <w:r w:rsidR="00F16F1B">
        <w:t>outperforming</w:t>
      </w:r>
      <w:r w:rsidR="00C82C73" w:rsidRPr="00C82C73">
        <w:t xml:space="preserve"> the </w:t>
      </w:r>
      <w:r w:rsidR="00AC3645">
        <w:t xml:space="preserve">human </w:t>
      </w:r>
      <w:r w:rsidR="00C82C73" w:rsidRPr="00C82C73">
        <w:t>annotation.</w:t>
      </w:r>
      <w:r w:rsidR="00C82C73">
        <w:t xml:space="preserve"> </w:t>
      </w:r>
      <w:r w:rsidR="00E73028" w:rsidRPr="00E73028">
        <w:t>The third prediction correctly under-segments, as the manual annotation extends beyond the actual KAZ and kidney region.</w:t>
      </w:r>
    </w:p>
    <w:p w14:paraId="47DB172C" w14:textId="7D5DE491" w:rsidR="001F4946" w:rsidRPr="004E0DF7" w:rsidRDefault="001F4946" w:rsidP="001F4946">
      <w:pPr>
        <w:pStyle w:val="tablecaption"/>
      </w:pPr>
      <w:bookmarkStart w:id="5" w:name="_Ref201326944"/>
      <w:r>
        <w:rPr>
          <w:b/>
        </w:rPr>
        <w:t xml:space="preserve">Table </w:t>
      </w:r>
      <w:r>
        <w:rPr>
          <w:b/>
        </w:rPr>
        <w:fldChar w:fldCharType="begin"/>
      </w:r>
      <w:r>
        <w:rPr>
          <w:b/>
        </w:rPr>
        <w:instrText xml:space="preserve"> SEQ "Table" \* MERGEFORMAT </w:instrText>
      </w:r>
      <w:r>
        <w:rPr>
          <w:b/>
        </w:rPr>
        <w:fldChar w:fldCharType="separate"/>
      </w:r>
      <w:r w:rsidR="006F2C26">
        <w:rPr>
          <w:b/>
          <w:noProof/>
        </w:rPr>
        <w:t>1</w:t>
      </w:r>
      <w:r>
        <w:rPr>
          <w:b/>
        </w:rPr>
        <w:fldChar w:fldCharType="end"/>
      </w:r>
      <w:bookmarkEnd w:id="5"/>
      <w:r>
        <w:rPr>
          <w:b/>
        </w:rPr>
        <w:t>.</w:t>
      </w:r>
      <w:r>
        <w:t xml:space="preserve"> Ablation analysis on different metrics in XBoundNet++, with the cumulative addition (+) of new components in descending order, highlighting the best result in grey.</w:t>
      </w:r>
    </w:p>
    <w:tbl>
      <w:tblPr>
        <w:tblStyle w:val="TableGrid"/>
        <w:tblpPr w:leftFromText="180" w:rightFromText="180" w:vertAnchor="text" w:horzAnchor="margin" w:tblpY="169"/>
        <w:tblW w:w="6843" w:type="dxa"/>
        <w:tblLayout w:type="fixed"/>
        <w:tblCellMar>
          <w:left w:w="28" w:type="dxa"/>
          <w:right w:w="28" w:type="dxa"/>
        </w:tblCellMar>
        <w:tblLook w:val="04A0" w:firstRow="1" w:lastRow="0" w:firstColumn="1" w:lastColumn="0" w:noHBand="0" w:noVBand="1"/>
      </w:tblPr>
      <w:tblGrid>
        <w:gridCol w:w="1129"/>
        <w:gridCol w:w="737"/>
        <w:gridCol w:w="737"/>
        <w:gridCol w:w="737"/>
        <w:gridCol w:w="737"/>
        <w:gridCol w:w="907"/>
        <w:gridCol w:w="907"/>
        <w:gridCol w:w="952"/>
      </w:tblGrid>
      <w:tr w:rsidR="001F4946" w:rsidRPr="006870C1" w14:paraId="4AE7270B" w14:textId="77777777" w:rsidTr="001F4946">
        <w:trPr>
          <w:cantSplit/>
        </w:trPr>
        <w:tc>
          <w:tcPr>
            <w:tcW w:w="1129" w:type="dxa"/>
            <w:tcBorders>
              <w:tl2br w:val="single" w:sz="4" w:space="0" w:color="auto"/>
            </w:tcBorders>
          </w:tcPr>
          <w:p w14:paraId="3D958F27" w14:textId="77777777" w:rsidR="001F4946" w:rsidRDefault="001F4946" w:rsidP="001F4946">
            <w:pPr>
              <w:pStyle w:val="p1a"/>
              <w:jc w:val="right"/>
              <w:rPr>
                <w:sz w:val="16"/>
                <w:szCs w:val="16"/>
              </w:rPr>
            </w:pPr>
            <w:r>
              <w:rPr>
                <w:sz w:val="16"/>
                <w:szCs w:val="16"/>
              </w:rPr>
              <w:t>Metrics</w:t>
            </w:r>
          </w:p>
          <w:p w14:paraId="2DA1AD07" w14:textId="77777777" w:rsidR="001F4946" w:rsidRPr="006870C1" w:rsidRDefault="001F4946" w:rsidP="001F4946">
            <w:pPr>
              <w:pStyle w:val="p1a"/>
              <w:rPr>
                <w:sz w:val="16"/>
                <w:szCs w:val="16"/>
              </w:rPr>
            </w:pPr>
            <w:r>
              <w:rPr>
                <w:sz w:val="16"/>
                <w:szCs w:val="16"/>
              </w:rPr>
              <w:t>Models</w:t>
            </w:r>
          </w:p>
        </w:tc>
        <w:tc>
          <w:tcPr>
            <w:tcW w:w="737" w:type="dxa"/>
            <w:tcBorders>
              <w:bottom w:val="single" w:sz="4" w:space="0" w:color="auto"/>
            </w:tcBorders>
          </w:tcPr>
          <w:p w14:paraId="2E77A190" w14:textId="77777777" w:rsidR="001F4946" w:rsidRPr="006870C1" w:rsidRDefault="001F4946" w:rsidP="001F4946">
            <w:pPr>
              <w:pStyle w:val="p1a"/>
              <w:jc w:val="center"/>
              <w:rPr>
                <w:sz w:val="16"/>
                <w:szCs w:val="16"/>
              </w:rPr>
            </w:pPr>
            <w:r w:rsidRPr="006870C1">
              <w:rPr>
                <w:sz w:val="16"/>
                <w:szCs w:val="16"/>
              </w:rPr>
              <w:t>Precision</w:t>
            </w:r>
          </w:p>
        </w:tc>
        <w:tc>
          <w:tcPr>
            <w:tcW w:w="737" w:type="dxa"/>
            <w:tcBorders>
              <w:bottom w:val="single" w:sz="4" w:space="0" w:color="auto"/>
            </w:tcBorders>
          </w:tcPr>
          <w:p w14:paraId="3E7DD7BF" w14:textId="77777777" w:rsidR="001F4946" w:rsidRPr="006870C1" w:rsidRDefault="001F4946" w:rsidP="001F4946">
            <w:pPr>
              <w:pStyle w:val="p1a"/>
              <w:jc w:val="center"/>
              <w:rPr>
                <w:sz w:val="16"/>
                <w:szCs w:val="16"/>
              </w:rPr>
            </w:pPr>
            <w:r>
              <w:rPr>
                <w:sz w:val="16"/>
                <w:szCs w:val="16"/>
              </w:rPr>
              <w:t>Recall</w:t>
            </w:r>
          </w:p>
        </w:tc>
        <w:tc>
          <w:tcPr>
            <w:tcW w:w="737" w:type="dxa"/>
            <w:tcBorders>
              <w:bottom w:val="single" w:sz="4" w:space="0" w:color="auto"/>
            </w:tcBorders>
          </w:tcPr>
          <w:p w14:paraId="7CCA8A55" w14:textId="77777777" w:rsidR="001F4946" w:rsidRPr="006870C1" w:rsidRDefault="001F4946" w:rsidP="001F4946">
            <w:pPr>
              <w:pStyle w:val="p1a"/>
              <w:jc w:val="center"/>
              <w:rPr>
                <w:sz w:val="16"/>
                <w:szCs w:val="16"/>
              </w:rPr>
            </w:pPr>
            <w:r>
              <w:rPr>
                <w:sz w:val="16"/>
                <w:szCs w:val="16"/>
              </w:rPr>
              <w:t>DSC</w:t>
            </w:r>
          </w:p>
        </w:tc>
        <w:tc>
          <w:tcPr>
            <w:tcW w:w="737" w:type="dxa"/>
            <w:tcBorders>
              <w:bottom w:val="single" w:sz="4" w:space="0" w:color="auto"/>
            </w:tcBorders>
          </w:tcPr>
          <w:p w14:paraId="0129D7D1" w14:textId="77777777" w:rsidR="001F4946" w:rsidRPr="006870C1" w:rsidRDefault="001F4946" w:rsidP="001F4946">
            <w:pPr>
              <w:pStyle w:val="p1a"/>
              <w:jc w:val="center"/>
              <w:rPr>
                <w:sz w:val="16"/>
                <w:szCs w:val="16"/>
              </w:rPr>
            </w:pPr>
            <w:r>
              <w:rPr>
                <w:sz w:val="16"/>
                <w:szCs w:val="16"/>
              </w:rPr>
              <w:t>Jaccard</w:t>
            </w:r>
          </w:p>
        </w:tc>
        <w:tc>
          <w:tcPr>
            <w:tcW w:w="907" w:type="dxa"/>
            <w:tcBorders>
              <w:bottom w:val="single" w:sz="4" w:space="0" w:color="auto"/>
            </w:tcBorders>
          </w:tcPr>
          <w:p w14:paraId="3D4926D9" w14:textId="77777777" w:rsidR="001F4946" w:rsidRDefault="001F4946" w:rsidP="001F4946">
            <w:pPr>
              <w:pStyle w:val="p1a"/>
              <w:jc w:val="center"/>
              <w:rPr>
                <w:sz w:val="16"/>
                <w:szCs w:val="16"/>
              </w:rPr>
            </w:pPr>
            <w:r>
              <w:rPr>
                <w:sz w:val="16"/>
                <w:szCs w:val="16"/>
              </w:rPr>
              <w:t xml:space="preserve">MAD </w:t>
            </w:r>
          </w:p>
          <w:p w14:paraId="3A6415F8" w14:textId="77777777" w:rsidR="001F4946" w:rsidRPr="006870C1" w:rsidRDefault="001F4946" w:rsidP="001F4946">
            <w:pPr>
              <w:pStyle w:val="p1a"/>
              <w:jc w:val="center"/>
              <w:rPr>
                <w:sz w:val="16"/>
                <w:szCs w:val="16"/>
              </w:rPr>
            </w:pPr>
            <w:r>
              <w:rPr>
                <w:sz w:val="16"/>
                <w:szCs w:val="16"/>
              </w:rPr>
              <w:t>(pixels)</w:t>
            </w:r>
          </w:p>
        </w:tc>
        <w:tc>
          <w:tcPr>
            <w:tcW w:w="907" w:type="dxa"/>
            <w:tcBorders>
              <w:bottom w:val="single" w:sz="4" w:space="0" w:color="auto"/>
            </w:tcBorders>
          </w:tcPr>
          <w:p w14:paraId="2CABA6CF" w14:textId="77777777" w:rsidR="001F4946" w:rsidRDefault="001F4946" w:rsidP="001F4946">
            <w:pPr>
              <w:pStyle w:val="p1a"/>
              <w:jc w:val="center"/>
              <w:rPr>
                <w:sz w:val="16"/>
                <w:szCs w:val="16"/>
              </w:rPr>
            </w:pPr>
            <w:r>
              <w:rPr>
                <w:sz w:val="16"/>
                <w:szCs w:val="16"/>
              </w:rPr>
              <w:t xml:space="preserve">MSD </w:t>
            </w:r>
          </w:p>
          <w:p w14:paraId="502B1343" w14:textId="77777777" w:rsidR="001F4946" w:rsidRPr="006870C1" w:rsidRDefault="001F4946" w:rsidP="001F4946">
            <w:pPr>
              <w:pStyle w:val="p1a"/>
              <w:jc w:val="center"/>
              <w:rPr>
                <w:sz w:val="16"/>
                <w:szCs w:val="16"/>
              </w:rPr>
            </w:pPr>
            <w:r>
              <w:rPr>
                <w:sz w:val="16"/>
                <w:szCs w:val="16"/>
              </w:rPr>
              <w:t>(pixels)</w:t>
            </w:r>
          </w:p>
        </w:tc>
        <w:tc>
          <w:tcPr>
            <w:tcW w:w="952" w:type="dxa"/>
            <w:tcBorders>
              <w:bottom w:val="single" w:sz="4" w:space="0" w:color="auto"/>
            </w:tcBorders>
          </w:tcPr>
          <w:p w14:paraId="1F8ED6CC" w14:textId="77777777" w:rsidR="001F4946" w:rsidRDefault="001F4946" w:rsidP="001F4946">
            <w:pPr>
              <w:pStyle w:val="p1a"/>
              <w:jc w:val="center"/>
              <w:rPr>
                <w:sz w:val="16"/>
                <w:szCs w:val="16"/>
              </w:rPr>
            </w:pPr>
            <w:r>
              <w:rPr>
                <w:sz w:val="16"/>
                <w:szCs w:val="16"/>
              </w:rPr>
              <w:t xml:space="preserve">HD </w:t>
            </w:r>
          </w:p>
          <w:p w14:paraId="45D30156" w14:textId="77777777" w:rsidR="001F4946" w:rsidRPr="00D54F92" w:rsidRDefault="001F4946" w:rsidP="001F4946">
            <w:pPr>
              <w:pStyle w:val="p1a"/>
              <w:jc w:val="center"/>
              <w:rPr>
                <w:sz w:val="16"/>
                <w:szCs w:val="16"/>
              </w:rPr>
            </w:pPr>
            <w:r>
              <w:rPr>
                <w:sz w:val="16"/>
                <w:szCs w:val="16"/>
              </w:rPr>
              <w:t>(pixels)</w:t>
            </w:r>
          </w:p>
        </w:tc>
      </w:tr>
      <w:tr w:rsidR="001F4946" w:rsidRPr="006870C1" w14:paraId="4E13B3AF" w14:textId="77777777" w:rsidTr="001F4946">
        <w:trPr>
          <w:cantSplit/>
        </w:trPr>
        <w:tc>
          <w:tcPr>
            <w:tcW w:w="1129" w:type="dxa"/>
          </w:tcPr>
          <w:p w14:paraId="20D1B2EE" w14:textId="77777777" w:rsidR="001F4946" w:rsidRPr="006870C1" w:rsidRDefault="001F4946" w:rsidP="001F4946">
            <w:pPr>
              <w:pStyle w:val="p1a"/>
              <w:rPr>
                <w:sz w:val="16"/>
                <w:szCs w:val="16"/>
              </w:rPr>
            </w:pPr>
            <w:r>
              <w:rPr>
                <w:sz w:val="16"/>
                <w:szCs w:val="16"/>
              </w:rPr>
              <w:t>LeXNet++ Baseline</w:t>
            </w:r>
          </w:p>
        </w:tc>
        <w:tc>
          <w:tcPr>
            <w:tcW w:w="737" w:type="dxa"/>
            <w:tcBorders>
              <w:bottom w:val="single" w:sz="4" w:space="0" w:color="auto"/>
              <w:right w:val="nil"/>
            </w:tcBorders>
          </w:tcPr>
          <w:p w14:paraId="27CA1773" w14:textId="77777777" w:rsidR="001F4946" w:rsidRPr="006870C1" w:rsidRDefault="001F4946" w:rsidP="001F4946">
            <w:pPr>
              <w:pStyle w:val="p1a"/>
              <w:jc w:val="center"/>
              <w:rPr>
                <w:sz w:val="16"/>
                <w:szCs w:val="16"/>
              </w:rPr>
            </w:pPr>
            <w:r>
              <w:rPr>
                <w:sz w:val="16"/>
                <w:szCs w:val="16"/>
              </w:rPr>
              <w:t>0.68</w:t>
            </w:r>
            <w:r w:rsidRPr="006870C1">
              <w:rPr>
                <w:sz w:val="16"/>
                <w:szCs w:val="16"/>
              </w:rPr>
              <w:t>±0.33</w:t>
            </w:r>
          </w:p>
        </w:tc>
        <w:tc>
          <w:tcPr>
            <w:tcW w:w="737" w:type="dxa"/>
            <w:tcBorders>
              <w:left w:val="nil"/>
              <w:bottom w:val="single" w:sz="4" w:space="0" w:color="auto"/>
              <w:right w:val="nil"/>
            </w:tcBorders>
          </w:tcPr>
          <w:p w14:paraId="0EF25918" w14:textId="77777777" w:rsidR="001F4946" w:rsidRPr="006870C1" w:rsidRDefault="001F4946" w:rsidP="001F4946">
            <w:pPr>
              <w:pStyle w:val="p1a"/>
              <w:jc w:val="center"/>
              <w:rPr>
                <w:sz w:val="16"/>
                <w:szCs w:val="16"/>
              </w:rPr>
            </w:pPr>
            <w:r>
              <w:rPr>
                <w:sz w:val="16"/>
                <w:szCs w:val="16"/>
              </w:rPr>
              <w:t>0.54</w:t>
            </w:r>
            <w:r w:rsidRPr="006870C1">
              <w:rPr>
                <w:sz w:val="16"/>
                <w:szCs w:val="16"/>
              </w:rPr>
              <w:t>±</w:t>
            </w:r>
            <w:r>
              <w:rPr>
                <w:sz w:val="16"/>
                <w:szCs w:val="16"/>
              </w:rPr>
              <w:t>0.36</w:t>
            </w:r>
          </w:p>
        </w:tc>
        <w:tc>
          <w:tcPr>
            <w:tcW w:w="737" w:type="dxa"/>
            <w:tcBorders>
              <w:left w:val="nil"/>
              <w:bottom w:val="single" w:sz="4" w:space="0" w:color="auto"/>
              <w:right w:val="nil"/>
            </w:tcBorders>
          </w:tcPr>
          <w:p w14:paraId="025097AF" w14:textId="77777777" w:rsidR="001F4946" w:rsidRPr="006870C1" w:rsidRDefault="001F4946" w:rsidP="001F4946">
            <w:pPr>
              <w:pStyle w:val="p1a"/>
              <w:jc w:val="center"/>
              <w:rPr>
                <w:sz w:val="16"/>
                <w:szCs w:val="16"/>
              </w:rPr>
            </w:pPr>
            <w:r>
              <w:rPr>
                <w:sz w:val="16"/>
                <w:szCs w:val="16"/>
              </w:rPr>
              <w:t>0.55</w:t>
            </w:r>
            <w:r w:rsidRPr="006870C1">
              <w:rPr>
                <w:sz w:val="16"/>
                <w:szCs w:val="16"/>
              </w:rPr>
              <w:t>±</w:t>
            </w:r>
            <w:r>
              <w:rPr>
                <w:sz w:val="16"/>
                <w:szCs w:val="16"/>
              </w:rPr>
              <w:t>0.34</w:t>
            </w:r>
          </w:p>
        </w:tc>
        <w:tc>
          <w:tcPr>
            <w:tcW w:w="737" w:type="dxa"/>
            <w:tcBorders>
              <w:left w:val="nil"/>
              <w:bottom w:val="single" w:sz="4" w:space="0" w:color="auto"/>
              <w:right w:val="nil"/>
            </w:tcBorders>
          </w:tcPr>
          <w:p w14:paraId="68D7BD42" w14:textId="77777777" w:rsidR="001F4946" w:rsidRPr="006870C1" w:rsidRDefault="001F4946" w:rsidP="001F4946">
            <w:pPr>
              <w:pStyle w:val="p1a"/>
              <w:jc w:val="center"/>
              <w:rPr>
                <w:sz w:val="16"/>
                <w:szCs w:val="16"/>
              </w:rPr>
            </w:pPr>
            <w:r>
              <w:rPr>
                <w:sz w:val="16"/>
                <w:szCs w:val="16"/>
              </w:rPr>
              <w:t>0.45</w:t>
            </w:r>
            <w:r w:rsidRPr="006870C1">
              <w:rPr>
                <w:sz w:val="16"/>
                <w:szCs w:val="16"/>
              </w:rPr>
              <w:t>±</w:t>
            </w:r>
            <w:r>
              <w:rPr>
                <w:sz w:val="16"/>
                <w:szCs w:val="16"/>
              </w:rPr>
              <w:t>0.31</w:t>
            </w:r>
          </w:p>
        </w:tc>
        <w:tc>
          <w:tcPr>
            <w:tcW w:w="907" w:type="dxa"/>
            <w:tcBorders>
              <w:left w:val="nil"/>
              <w:bottom w:val="single" w:sz="4" w:space="0" w:color="auto"/>
              <w:right w:val="nil"/>
            </w:tcBorders>
          </w:tcPr>
          <w:p w14:paraId="37847F05" w14:textId="77777777" w:rsidR="001F4946" w:rsidRPr="006870C1" w:rsidRDefault="001F4946" w:rsidP="001F4946">
            <w:pPr>
              <w:pStyle w:val="p1a"/>
              <w:jc w:val="center"/>
              <w:rPr>
                <w:sz w:val="16"/>
                <w:szCs w:val="16"/>
              </w:rPr>
            </w:pPr>
            <w:r>
              <w:rPr>
                <w:sz w:val="16"/>
                <w:szCs w:val="16"/>
              </w:rPr>
              <w:t>37.06</w:t>
            </w:r>
            <w:r w:rsidRPr="006870C1">
              <w:rPr>
                <w:sz w:val="16"/>
                <w:szCs w:val="16"/>
              </w:rPr>
              <w:t>±</w:t>
            </w:r>
            <w:r>
              <w:rPr>
                <w:sz w:val="16"/>
                <w:szCs w:val="16"/>
              </w:rPr>
              <w:t>57.94</w:t>
            </w:r>
          </w:p>
        </w:tc>
        <w:tc>
          <w:tcPr>
            <w:tcW w:w="907" w:type="dxa"/>
            <w:tcBorders>
              <w:left w:val="nil"/>
              <w:bottom w:val="single" w:sz="4" w:space="0" w:color="auto"/>
              <w:right w:val="nil"/>
            </w:tcBorders>
          </w:tcPr>
          <w:p w14:paraId="7109BED3" w14:textId="77777777" w:rsidR="001F4946" w:rsidRPr="006870C1" w:rsidRDefault="001F4946" w:rsidP="001F4946">
            <w:pPr>
              <w:pStyle w:val="p1a"/>
              <w:jc w:val="center"/>
              <w:rPr>
                <w:sz w:val="16"/>
                <w:szCs w:val="16"/>
              </w:rPr>
            </w:pPr>
            <w:r>
              <w:rPr>
                <w:sz w:val="16"/>
                <w:szCs w:val="16"/>
              </w:rPr>
              <w:t>27.44</w:t>
            </w:r>
            <w:r w:rsidRPr="006870C1">
              <w:rPr>
                <w:sz w:val="16"/>
                <w:szCs w:val="16"/>
              </w:rPr>
              <w:t>±</w:t>
            </w:r>
            <w:r>
              <w:rPr>
                <w:sz w:val="16"/>
                <w:szCs w:val="16"/>
              </w:rPr>
              <w:t>61.89</w:t>
            </w:r>
          </w:p>
        </w:tc>
        <w:tc>
          <w:tcPr>
            <w:tcW w:w="952" w:type="dxa"/>
            <w:tcBorders>
              <w:left w:val="nil"/>
              <w:bottom w:val="single" w:sz="4" w:space="0" w:color="auto"/>
            </w:tcBorders>
          </w:tcPr>
          <w:p w14:paraId="1DEAA6F4" w14:textId="77777777" w:rsidR="001F4946" w:rsidRPr="006870C1" w:rsidRDefault="001F4946" w:rsidP="001F4946">
            <w:pPr>
              <w:pStyle w:val="p1a"/>
              <w:jc w:val="center"/>
              <w:rPr>
                <w:sz w:val="16"/>
                <w:szCs w:val="16"/>
              </w:rPr>
            </w:pPr>
            <w:r>
              <w:rPr>
                <w:sz w:val="16"/>
                <w:szCs w:val="16"/>
              </w:rPr>
              <w:t>86.96</w:t>
            </w:r>
            <w:r w:rsidRPr="006870C1">
              <w:rPr>
                <w:sz w:val="16"/>
                <w:szCs w:val="16"/>
              </w:rPr>
              <w:t>±</w:t>
            </w:r>
            <w:r>
              <w:rPr>
                <w:sz w:val="16"/>
                <w:szCs w:val="16"/>
              </w:rPr>
              <w:t>119.89</w:t>
            </w:r>
          </w:p>
        </w:tc>
      </w:tr>
      <w:tr w:rsidR="001F4946" w:rsidRPr="006870C1" w14:paraId="38DE524F" w14:textId="77777777" w:rsidTr="001F4946">
        <w:trPr>
          <w:cantSplit/>
        </w:trPr>
        <w:tc>
          <w:tcPr>
            <w:tcW w:w="1129" w:type="dxa"/>
          </w:tcPr>
          <w:p w14:paraId="64E120A1" w14:textId="77777777" w:rsidR="001F4946" w:rsidRPr="006870C1" w:rsidRDefault="001F4946" w:rsidP="001F4946">
            <w:pPr>
              <w:pStyle w:val="p1a"/>
              <w:rPr>
                <w:sz w:val="16"/>
                <w:szCs w:val="16"/>
              </w:rPr>
            </w:pPr>
            <w:r>
              <w:rPr>
                <w:sz w:val="16"/>
                <w:szCs w:val="16"/>
              </w:rPr>
              <w:t xml:space="preserve">+XBoundNet++ </w:t>
            </w:r>
          </w:p>
        </w:tc>
        <w:tc>
          <w:tcPr>
            <w:tcW w:w="737" w:type="dxa"/>
            <w:tcBorders>
              <w:bottom w:val="single" w:sz="4" w:space="0" w:color="auto"/>
              <w:right w:val="nil"/>
            </w:tcBorders>
          </w:tcPr>
          <w:p w14:paraId="2BADBB72" w14:textId="77777777" w:rsidR="001F4946" w:rsidRPr="006870C1" w:rsidRDefault="001F4946" w:rsidP="001F4946">
            <w:pPr>
              <w:pStyle w:val="p1a"/>
              <w:jc w:val="center"/>
              <w:rPr>
                <w:sz w:val="16"/>
                <w:szCs w:val="16"/>
              </w:rPr>
            </w:pPr>
            <w:r>
              <w:rPr>
                <w:sz w:val="16"/>
                <w:szCs w:val="16"/>
              </w:rPr>
              <w:t>0.71</w:t>
            </w:r>
            <w:r w:rsidRPr="006870C1">
              <w:rPr>
                <w:sz w:val="16"/>
                <w:szCs w:val="16"/>
              </w:rPr>
              <w:t>±</w:t>
            </w:r>
            <w:r>
              <w:rPr>
                <w:sz w:val="16"/>
                <w:szCs w:val="16"/>
              </w:rPr>
              <w:t>0.20</w:t>
            </w:r>
          </w:p>
        </w:tc>
        <w:tc>
          <w:tcPr>
            <w:tcW w:w="737" w:type="dxa"/>
            <w:tcBorders>
              <w:left w:val="nil"/>
              <w:bottom w:val="single" w:sz="4" w:space="0" w:color="auto"/>
              <w:right w:val="nil"/>
            </w:tcBorders>
          </w:tcPr>
          <w:p w14:paraId="42FCE107" w14:textId="77777777" w:rsidR="001F4946" w:rsidRPr="006870C1" w:rsidRDefault="001F4946" w:rsidP="001F4946">
            <w:pPr>
              <w:pStyle w:val="p1a"/>
              <w:jc w:val="center"/>
              <w:rPr>
                <w:sz w:val="16"/>
                <w:szCs w:val="16"/>
              </w:rPr>
            </w:pPr>
            <w:r>
              <w:rPr>
                <w:sz w:val="16"/>
                <w:szCs w:val="16"/>
              </w:rPr>
              <w:t>0.68</w:t>
            </w:r>
            <w:r w:rsidRPr="006870C1">
              <w:rPr>
                <w:sz w:val="16"/>
                <w:szCs w:val="16"/>
              </w:rPr>
              <w:t>±</w:t>
            </w:r>
            <w:r>
              <w:rPr>
                <w:sz w:val="16"/>
                <w:szCs w:val="16"/>
              </w:rPr>
              <w:t>0.30</w:t>
            </w:r>
          </w:p>
        </w:tc>
        <w:tc>
          <w:tcPr>
            <w:tcW w:w="737" w:type="dxa"/>
            <w:tcBorders>
              <w:left w:val="nil"/>
              <w:bottom w:val="single" w:sz="4" w:space="0" w:color="auto"/>
              <w:right w:val="nil"/>
            </w:tcBorders>
          </w:tcPr>
          <w:p w14:paraId="7A51907F" w14:textId="77777777" w:rsidR="001F4946" w:rsidRPr="006870C1" w:rsidRDefault="001F4946" w:rsidP="001F4946">
            <w:pPr>
              <w:pStyle w:val="p1a"/>
              <w:jc w:val="center"/>
              <w:rPr>
                <w:sz w:val="16"/>
                <w:szCs w:val="16"/>
              </w:rPr>
            </w:pPr>
            <w:r>
              <w:rPr>
                <w:sz w:val="16"/>
                <w:szCs w:val="16"/>
              </w:rPr>
              <w:t>0.66</w:t>
            </w:r>
            <w:r w:rsidRPr="006870C1">
              <w:rPr>
                <w:sz w:val="16"/>
                <w:szCs w:val="16"/>
              </w:rPr>
              <w:t>±</w:t>
            </w:r>
            <w:r>
              <w:rPr>
                <w:sz w:val="16"/>
                <w:szCs w:val="16"/>
              </w:rPr>
              <w:t>0.27</w:t>
            </w:r>
          </w:p>
        </w:tc>
        <w:tc>
          <w:tcPr>
            <w:tcW w:w="737" w:type="dxa"/>
            <w:tcBorders>
              <w:left w:val="nil"/>
              <w:bottom w:val="single" w:sz="4" w:space="0" w:color="auto"/>
              <w:right w:val="nil"/>
            </w:tcBorders>
          </w:tcPr>
          <w:p w14:paraId="262158DE" w14:textId="77777777" w:rsidR="001F4946" w:rsidRPr="006870C1" w:rsidRDefault="001F4946" w:rsidP="001F4946">
            <w:pPr>
              <w:pStyle w:val="p1a"/>
              <w:jc w:val="center"/>
              <w:rPr>
                <w:sz w:val="16"/>
                <w:szCs w:val="16"/>
              </w:rPr>
            </w:pPr>
            <w:r>
              <w:rPr>
                <w:sz w:val="16"/>
                <w:szCs w:val="16"/>
              </w:rPr>
              <w:t>0.54</w:t>
            </w:r>
            <w:r w:rsidRPr="006870C1">
              <w:rPr>
                <w:sz w:val="16"/>
                <w:szCs w:val="16"/>
              </w:rPr>
              <w:t>±</w:t>
            </w:r>
            <w:r>
              <w:rPr>
                <w:sz w:val="16"/>
                <w:szCs w:val="16"/>
              </w:rPr>
              <w:t>0.26</w:t>
            </w:r>
          </w:p>
        </w:tc>
        <w:tc>
          <w:tcPr>
            <w:tcW w:w="907" w:type="dxa"/>
            <w:tcBorders>
              <w:left w:val="nil"/>
              <w:bottom w:val="single" w:sz="4" w:space="0" w:color="auto"/>
              <w:right w:val="nil"/>
            </w:tcBorders>
          </w:tcPr>
          <w:p w14:paraId="685AF25F" w14:textId="77777777" w:rsidR="001F4946" w:rsidRPr="006870C1" w:rsidRDefault="001F4946" w:rsidP="001F4946">
            <w:pPr>
              <w:pStyle w:val="p1a"/>
              <w:jc w:val="center"/>
              <w:rPr>
                <w:sz w:val="16"/>
                <w:szCs w:val="16"/>
              </w:rPr>
            </w:pPr>
            <w:r>
              <w:rPr>
                <w:sz w:val="16"/>
                <w:szCs w:val="16"/>
              </w:rPr>
              <w:t>26.00</w:t>
            </w:r>
            <w:r w:rsidRPr="006870C1">
              <w:rPr>
                <w:sz w:val="16"/>
                <w:szCs w:val="16"/>
              </w:rPr>
              <w:t>±</w:t>
            </w:r>
            <w:r>
              <w:rPr>
                <w:sz w:val="16"/>
                <w:szCs w:val="16"/>
              </w:rPr>
              <w:t>41.83</w:t>
            </w:r>
          </w:p>
        </w:tc>
        <w:tc>
          <w:tcPr>
            <w:tcW w:w="907" w:type="dxa"/>
            <w:tcBorders>
              <w:left w:val="nil"/>
              <w:bottom w:val="single" w:sz="4" w:space="0" w:color="auto"/>
              <w:right w:val="nil"/>
            </w:tcBorders>
          </w:tcPr>
          <w:p w14:paraId="0411096C" w14:textId="77777777" w:rsidR="001F4946" w:rsidRPr="006870C1" w:rsidRDefault="001F4946" w:rsidP="001F4946">
            <w:pPr>
              <w:pStyle w:val="p1a"/>
              <w:jc w:val="center"/>
              <w:rPr>
                <w:sz w:val="16"/>
                <w:szCs w:val="16"/>
              </w:rPr>
            </w:pPr>
            <w:r>
              <w:rPr>
                <w:sz w:val="16"/>
                <w:szCs w:val="16"/>
              </w:rPr>
              <w:t>17.59</w:t>
            </w:r>
            <w:r w:rsidRPr="006870C1">
              <w:rPr>
                <w:sz w:val="16"/>
                <w:szCs w:val="16"/>
              </w:rPr>
              <w:t>±</w:t>
            </w:r>
            <w:r>
              <w:rPr>
                <w:sz w:val="16"/>
                <w:szCs w:val="16"/>
              </w:rPr>
              <w:t>44.03</w:t>
            </w:r>
          </w:p>
        </w:tc>
        <w:tc>
          <w:tcPr>
            <w:tcW w:w="952" w:type="dxa"/>
            <w:tcBorders>
              <w:left w:val="nil"/>
              <w:bottom w:val="single" w:sz="4" w:space="0" w:color="auto"/>
            </w:tcBorders>
          </w:tcPr>
          <w:p w14:paraId="1CA31EB9" w14:textId="77777777" w:rsidR="001F4946" w:rsidRPr="006870C1" w:rsidRDefault="001F4946" w:rsidP="001F4946">
            <w:pPr>
              <w:pStyle w:val="p1a"/>
              <w:jc w:val="center"/>
              <w:rPr>
                <w:sz w:val="16"/>
                <w:szCs w:val="16"/>
              </w:rPr>
            </w:pPr>
            <w:r>
              <w:rPr>
                <w:sz w:val="16"/>
                <w:szCs w:val="16"/>
              </w:rPr>
              <w:t>61.95</w:t>
            </w:r>
            <w:r w:rsidRPr="006870C1">
              <w:rPr>
                <w:sz w:val="16"/>
                <w:szCs w:val="16"/>
              </w:rPr>
              <w:t>±</w:t>
            </w:r>
            <w:r>
              <w:rPr>
                <w:sz w:val="16"/>
                <w:szCs w:val="16"/>
              </w:rPr>
              <w:t>66.28</w:t>
            </w:r>
          </w:p>
        </w:tc>
      </w:tr>
      <w:tr w:rsidR="001F4946" w:rsidRPr="006870C1" w14:paraId="39D157D8" w14:textId="77777777" w:rsidTr="001F4946">
        <w:trPr>
          <w:cantSplit/>
        </w:trPr>
        <w:tc>
          <w:tcPr>
            <w:tcW w:w="1129" w:type="dxa"/>
          </w:tcPr>
          <w:p w14:paraId="440875E5" w14:textId="77777777" w:rsidR="001F4946" w:rsidRPr="006870C1" w:rsidRDefault="001F4946" w:rsidP="001F4946">
            <w:pPr>
              <w:pStyle w:val="p1a"/>
              <w:rPr>
                <w:sz w:val="16"/>
                <w:szCs w:val="16"/>
              </w:rPr>
            </w:pPr>
            <w:r>
              <w:rPr>
                <w:sz w:val="16"/>
                <w:szCs w:val="16"/>
              </w:rPr>
              <w:t>+Augmentation</w:t>
            </w:r>
          </w:p>
        </w:tc>
        <w:tc>
          <w:tcPr>
            <w:tcW w:w="737" w:type="dxa"/>
            <w:tcBorders>
              <w:bottom w:val="single" w:sz="4" w:space="0" w:color="auto"/>
              <w:right w:val="nil"/>
            </w:tcBorders>
          </w:tcPr>
          <w:p w14:paraId="139F99D3" w14:textId="77777777" w:rsidR="001F4946" w:rsidRPr="006870C1" w:rsidRDefault="001F4946" w:rsidP="001F4946">
            <w:pPr>
              <w:pStyle w:val="p1a"/>
              <w:jc w:val="center"/>
              <w:rPr>
                <w:sz w:val="16"/>
                <w:szCs w:val="16"/>
              </w:rPr>
            </w:pPr>
            <w:r>
              <w:rPr>
                <w:sz w:val="16"/>
                <w:szCs w:val="16"/>
              </w:rPr>
              <w:t>0.82</w:t>
            </w:r>
            <w:r w:rsidRPr="006870C1">
              <w:rPr>
                <w:sz w:val="16"/>
                <w:szCs w:val="16"/>
              </w:rPr>
              <w:t>±</w:t>
            </w:r>
            <w:r>
              <w:rPr>
                <w:sz w:val="16"/>
                <w:szCs w:val="16"/>
              </w:rPr>
              <w:t>0.18</w:t>
            </w:r>
          </w:p>
        </w:tc>
        <w:tc>
          <w:tcPr>
            <w:tcW w:w="737" w:type="dxa"/>
            <w:tcBorders>
              <w:left w:val="nil"/>
              <w:bottom w:val="single" w:sz="4" w:space="0" w:color="auto"/>
              <w:right w:val="nil"/>
            </w:tcBorders>
          </w:tcPr>
          <w:p w14:paraId="6CDD0000" w14:textId="77777777" w:rsidR="001F4946" w:rsidRPr="006870C1" w:rsidRDefault="001F4946" w:rsidP="001F4946">
            <w:pPr>
              <w:pStyle w:val="p1a"/>
              <w:jc w:val="center"/>
              <w:rPr>
                <w:sz w:val="16"/>
                <w:szCs w:val="16"/>
              </w:rPr>
            </w:pPr>
            <w:r>
              <w:rPr>
                <w:sz w:val="16"/>
                <w:szCs w:val="16"/>
              </w:rPr>
              <w:t>0.80</w:t>
            </w:r>
            <w:r w:rsidRPr="006870C1">
              <w:rPr>
                <w:sz w:val="16"/>
                <w:szCs w:val="16"/>
              </w:rPr>
              <w:t>±</w:t>
            </w:r>
            <w:r>
              <w:rPr>
                <w:sz w:val="16"/>
                <w:szCs w:val="16"/>
              </w:rPr>
              <w:t>0.23</w:t>
            </w:r>
          </w:p>
        </w:tc>
        <w:tc>
          <w:tcPr>
            <w:tcW w:w="737" w:type="dxa"/>
            <w:tcBorders>
              <w:left w:val="nil"/>
              <w:bottom w:val="single" w:sz="4" w:space="0" w:color="auto"/>
              <w:right w:val="nil"/>
            </w:tcBorders>
          </w:tcPr>
          <w:p w14:paraId="755603B9" w14:textId="77777777" w:rsidR="001F4946" w:rsidRPr="006870C1" w:rsidRDefault="001F4946" w:rsidP="001F4946">
            <w:pPr>
              <w:pStyle w:val="p1a"/>
              <w:jc w:val="center"/>
              <w:rPr>
                <w:sz w:val="16"/>
                <w:szCs w:val="16"/>
              </w:rPr>
            </w:pPr>
            <w:r>
              <w:rPr>
                <w:sz w:val="16"/>
                <w:szCs w:val="16"/>
              </w:rPr>
              <w:t>0.78</w:t>
            </w:r>
            <w:r w:rsidRPr="006870C1">
              <w:rPr>
                <w:sz w:val="16"/>
                <w:szCs w:val="16"/>
              </w:rPr>
              <w:t>±</w:t>
            </w:r>
            <w:r>
              <w:rPr>
                <w:sz w:val="16"/>
                <w:szCs w:val="16"/>
              </w:rPr>
              <w:t>0.19</w:t>
            </w:r>
          </w:p>
        </w:tc>
        <w:tc>
          <w:tcPr>
            <w:tcW w:w="737" w:type="dxa"/>
            <w:tcBorders>
              <w:left w:val="nil"/>
              <w:bottom w:val="single" w:sz="4" w:space="0" w:color="auto"/>
              <w:right w:val="nil"/>
            </w:tcBorders>
          </w:tcPr>
          <w:p w14:paraId="7FD9B67B" w14:textId="77777777" w:rsidR="001F4946" w:rsidRPr="006870C1" w:rsidRDefault="001F4946" w:rsidP="001F4946">
            <w:pPr>
              <w:pStyle w:val="p1a"/>
              <w:jc w:val="center"/>
              <w:rPr>
                <w:sz w:val="16"/>
                <w:szCs w:val="16"/>
              </w:rPr>
            </w:pPr>
            <w:r>
              <w:rPr>
                <w:sz w:val="16"/>
                <w:szCs w:val="16"/>
              </w:rPr>
              <w:t>0.76</w:t>
            </w:r>
            <w:r w:rsidRPr="006870C1">
              <w:rPr>
                <w:sz w:val="16"/>
                <w:szCs w:val="16"/>
              </w:rPr>
              <w:t>±</w:t>
            </w:r>
            <w:r>
              <w:rPr>
                <w:sz w:val="16"/>
                <w:szCs w:val="16"/>
              </w:rPr>
              <w:t>0.17</w:t>
            </w:r>
          </w:p>
        </w:tc>
        <w:tc>
          <w:tcPr>
            <w:tcW w:w="907" w:type="dxa"/>
            <w:tcBorders>
              <w:left w:val="nil"/>
              <w:bottom w:val="single" w:sz="4" w:space="0" w:color="auto"/>
              <w:right w:val="nil"/>
            </w:tcBorders>
          </w:tcPr>
          <w:p w14:paraId="5E3A8AA3" w14:textId="77777777" w:rsidR="001F4946" w:rsidRPr="006870C1" w:rsidRDefault="001F4946" w:rsidP="001F4946">
            <w:pPr>
              <w:pStyle w:val="p1a"/>
              <w:jc w:val="center"/>
              <w:rPr>
                <w:sz w:val="16"/>
                <w:szCs w:val="16"/>
              </w:rPr>
            </w:pPr>
            <w:r>
              <w:rPr>
                <w:sz w:val="16"/>
                <w:szCs w:val="16"/>
              </w:rPr>
              <w:t>15.48</w:t>
            </w:r>
            <w:r w:rsidRPr="006870C1">
              <w:rPr>
                <w:sz w:val="16"/>
                <w:szCs w:val="16"/>
              </w:rPr>
              <w:t>±</w:t>
            </w:r>
            <w:r>
              <w:rPr>
                <w:sz w:val="16"/>
                <w:szCs w:val="16"/>
              </w:rPr>
              <w:t>26.10</w:t>
            </w:r>
          </w:p>
        </w:tc>
        <w:tc>
          <w:tcPr>
            <w:tcW w:w="907" w:type="dxa"/>
            <w:tcBorders>
              <w:left w:val="nil"/>
              <w:bottom w:val="single" w:sz="4" w:space="0" w:color="auto"/>
              <w:right w:val="nil"/>
            </w:tcBorders>
          </w:tcPr>
          <w:p w14:paraId="06E57618" w14:textId="77777777" w:rsidR="001F4946" w:rsidRPr="006870C1" w:rsidRDefault="001F4946" w:rsidP="001F4946">
            <w:pPr>
              <w:pStyle w:val="p1a"/>
              <w:jc w:val="center"/>
              <w:rPr>
                <w:sz w:val="16"/>
                <w:szCs w:val="16"/>
              </w:rPr>
            </w:pPr>
            <w:r>
              <w:rPr>
                <w:sz w:val="16"/>
                <w:szCs w:val="16"/>
              </w:rPr>
              <w:t>8.19</w:t>
            </w:r>
            <w:r w:rsidRPr="006870C1">
              <w:rPr>
                <w:sz w:val="16"/>
                <w:szCs w:val="16"/>
              </w:rPr>
              <w:t>±</w:t>
            </w:r>
            <w:r>
              <w:rPr>
                <w:sz w:val="16"/>
                <w:szCs w:val="16"/>
              </w:rPr>
              <w:t>27.22</w:t>
            </w:r>
          </w:p>
        </w:tc>
        <w:tc>
          <w:tcPr>
            <w:tcW w:w="952" w:type="dxa"/>
            <w:tcBorders>
              <w:left w:val="nil"/>
              <w:bottom w:val="single" w:sz="4" w:space="0" w:color="auto"/>
            </w:tcBorders>
          </w:tcPr>
          <w:p w14:paraId="2BF03942" w14:textId="77777777" w:rsidR="001F4946" w:rsidRPr="006870C1" w:rsidRDefault="001F4946" w:rsidP="001F4946">
            <w:pPr>
              <w:pStyle w:val="p1a"/>
              <w:jc w:val="center"/>
              <w:rPr>
                <w:sz w:val="16"/>
                <w:szCs w:val="16"/>
              </w:rPr>
            </w:pPr>
            <w:r>
              <w:rPr>
                <w:sz w:val="16"/>
                <w:szCs w:val="16"/>
              </w:rPr>
              <w:t>43.47</w:t>
            </w:r>
            <w:r w:rsidRPr="006870C1">
              <w:rPr>
                <w:sz w:val="16"/>
                <w:szCs w:val="16"/>
              </w:rPr>
              <w:t>±</w:t>
            </w:r>
            <w:r>
              <w:rPr>
                <w:sz w:val="16"/>
                <w:szCs w:val="16"/>
              </w:rPr>
              <w:t>55.10</w:t>
            </w:r>
          </w:p>
        </w:tc>
      </w:tr>
      <w:tr w:rsidR="001F4946" w:rsidRPr="006870C1" w14:paraId="59B6EBA0" w14:textId="77777777" w:rsidTr="001F4946">
        <w:trPr>
          <w:cantSplit/>
        </w:trPr>
        <w:tc>
          <w:tcPr>
            <w:tcW w:w="1129" w:type="dxa"/>
          </w:tcPr>
          <w:p w14:paraId="2F23BC28" w14:textId="77777777" w:rsidR="001F4946" w:rsidRDefault="001F4946" w:rsidP="001F4946">
            <w:pPr>
              <w:pStyle w:val="p1a"/>
              <w:rPr>
                <w:sz w:val="16"/>
                <w:szCs w:val="16"/>
              </w:rPr>
            </w:pPr>
            <w:r>
              <w:rPr>
                <w:sz w:val="16"/>
                <w:szCs w:val="16"/>
              </w:rPr>
              <w:t>+Post-</w:t>
            </w:r>
          </w:p>
          <w:p w14:paraId="08F61756" w14:textId="77777777" w:rsidR="001F4946" w:rsidRPr="006870C1" w:rsidRDefault="001F4946" w:rsidP="001F4946">
            <w:pPr>
              <w:pStyle w:val="p1a"/>
              <w:rPr>
                <w:sz w:val="16"/>
                <w:szCs w:val="16"/>
              </w:rPr>
            </w:pPr>
            <w:r>
              <w:rPr>
                <w:sz w:val="16"/>
                <w:szCs w:val="16"/>
              </w:rPr>
              <w:t>Processing</w:t>
            </w:r>
          </w:p>
        </w:tc>
        <w:tc>
          <w:tcPr>
            <w:tcW w:w="737" w:type="dxa"/>
            <w:tcBorders>
              <w:right w:val="nil"/>
            </w:tcBorders>
          </w:tcPr>
          <w:p w14:paraId="63E9F8AF" w14:textId="77777777" w:rsidR="001F4946" w:rsidRPr="006870C1" w:rsidRDefault="001F4946" w:rsidP="001F4946">
            <w:pPr>
              <w:pStyle w:val="p1a"/>
              <w:jc w:val="center"/>
              <w:rPr>
                <w:sz w:val="16"/>
                <w:szCs w:val="16"/>
              </w:rPr>
            </w:pPr>
            <w:r>
              <w:rPr>
                <w:sz w:val="16"/>
                <w:szCs w:val="16"/>
              </w:rPr>
              <w:t>0.81</w:t>
            </w:r>
            <w:r w:rsidRPr="006870C1">
              <w:rPr>
                <w:sz w:val="16"/>
                <w:szCs w:val="16"/>
              </w:rPr>
              <w:t>±</w:t>
            </w:r>
            <w:r>
              <w:rPr>
                <w:sz w:val="16"/>
                <w:szCs w:val="16"/>
              </w:rPr>
              <w:t>0.18</w:t>
            </w:r>
          </w:p>
        </w:tc>
        <w:tc>
          <w:tcPr>
            <w:tcW w:w="737" w:type="dxa"/>
            <w:tcBorders>
              <w:left w:val="nil"/>
              <w:right w:val="nil"/>
            </w:tcBorders>
          </w:tcPr>
          <w:p w14:paraId="21F6457E" w14:textId="77777777" w:rsidR="001F4946" w:rsidRPr="006870C1" w:rsidRDefault="001F4946" w:rsidP="001F4946">
            <w:pPr>
              <w:pStyle w:val="p1a"/>
              <w:jc w:val="center"/>
              <w:rPr>
                <w:sz w:val="16"/>
                <w:szCs w:val="16"/>
              </w:rPr>
            </w:pPr>
            <w:r>
              <w:rPr>
                <w:sz w:val="16"/>
                <w:szCs w:val="16"/>
              </w:rPr>
              <w:t>0.83</w:t>
            </w:r>
            <w:r w:rsidRPr="006870C1">
              <w:rPr>
                <w:sz w:val="16"/>
                <w:szCs w:val="16"/>
              </w:rPr>
              <w:t>±</w:t>
            </w:r>
            <w:r>
              <w:rPr>
                <w:sz w:val="16"/>
                <w:szCs w:val="16"/>
              </w:rPr>
              <w:t>0.19</w:t>
            </w:r>
          </w:p>
        </w:tc>
        <w:tc>
          <w:tcPr>
            <w:tcW w:w="737" w:type="dxa"/>
            <w:tcBorders>
              <w:left w:val="nil"/>
              <w:right w:val="nil"/>
            </w:tcBorders>
          </w:tcPr>
          <w:p w14:paraId="7FD4A62C" w14:textId="77777777" w:rsidR="001F4946" w:rsidRPr="006870C1" w:rsidRDefault="001F4946" w:rsidP="001F4946">
            <w:pPr>
              <w:pStyle w:val="p1a"/>
              <w:jc w:val="center"/>
              <w:rPr>
                <w:sz w:val="16"/>
                <w:szCs w:val="16"/>
              </w:rPr>
            </w:pPr>
            <w:r>
              <w:rPr>
                <w:sz w:val="16"/>
                <w:szCs w:val="16"/>
              </w:rPr>
              <w:t>0.81</w:t>
            </w:r>
            <w:r w:rsidRPr="006870C1">
              <w:rPr>
                <w:sz w:val="16"/>
                <w:szCs w:val="16"/>
              </w:rPr>
              <w:t>±</w:t>
            </w:r>
            <w:r>
              <w:rPr>
                <w:sz w:val="16"/>
                <w:szCs w:val="16"/>
              </w:rPr>
              <w:t>0.17</w:t>
            </w:r>
          </w:p>
        </w:tc>
        <w:tc>
          <w:tcPr>
            <w:tcW w:w="737" w:type="dxa"/>
            <w:tcBorders>
              <w:left w:val="nil"/>
              <w:right w:val="nil"/>
            </w:tcBorders>
          </w:tcPr>
          <w:p w14:paraId="1BF7D70E" w14:textId="77777777" w:rsidR="001F4946" w:rsidRPr="006870C1" w:rsidRDefault="001F4946" w:rsidP="001F4946">
            <w:pPr>
              <w:pStyle w:val="p1a"/>
              <w:jc w:val="center"/>
              <w:rPr>
                <w:sz w:val="16"/>
                <w:szCs w:val="16"/>
              </w:rPr>
            </w:pPr>
            <w:r>
              <w:rPr>
                <w:sz w:val="16"/>
                <w:szCs w:val="16"/>
              </w:rPr>
              <w:t>0.71</w:t>
            </w:r>
            <w:r w:rsidRPr="006870C1">
              <w:rPr>
                <w:sz w:val="16"/>
                <w:szCs w:val="16"/>
              </w:rPr>
              <w:t>±</w:t>
            </w:r>
            <w:r>
              <w:rPr>
                <w:sz w:val="16"/>
                <w:szCs w:val="16"/>
              </w:rPr>
              <w:t>0.18</w:t>
            </w:r>
          </w:p>
        </w:tc>
        <w:tc>
          <w:tcPr>
            <w:tcW w:w="907" w:type="dxa"/>
            <w:tcBorders>
              <w:left w:val="nil"/>
              <w:right w:val="nil"/>
            </w:tcBorders>
          </w:tcPr>
          <w:p w14:paraId="0E01EB50" w14:textId="77777777" w:rsidR="001F4946" w:rsidRPr="006870C1" w:rsidRDefault="001F4946" w:rsidP="001F4946">
            <w:pPr>
              <w:pStyle w:val="p1a"/>
              <w:jc w:val="center"/>
              <w:rPr>
                <w:sz w:val="16"/>
                <w:szCs w:val="16"/>
              </w:rPr>
            </w:pPr>
            <w:r>
              <w:rPr>
                <w:sz w:val="16"/>
                <w:szCs w:val="16"/>
              </w:rPr>
              <w:t>12.47</w:t>
            </w:r>
            <w:r w:rsidRPr="006870C1">
              <w:rPr>
                <w:sz w:val="16"/>
                <w:szCs w:val="16"/>
              </w:rPr>
              <w:t>±</w:t>
            </w:r>
            <w:r>
              <w:rPr>
                <w:sz w:val="16"/>
                <w:szCs w:val="16"/>
              </w:rPr>
              <w:t>29.55</w:t>
            </w:r>
          </w:p>
        </w:tc>
        <w:tc>
          <w:tcPr>
            <w:tcW w:w="907" w:type="dxa"/>
            <w:tcBorders>
              <w:left w:val="nil"/>
              <w:right w:val="nil"/>
            </w:tcBorders>
          </w:tcPr>
          <w:p w14:paraId="7AAD0A84" w14:textId="77777777" w:rsidR="001F4946" w:rsidRPr="006870C1" w:rsidRDefault="001F4946" w:rsidP="001F4946">
            <w:pPr>
              <w:pStyle w:val="p1a"/>
              <w:jc w:val="center"/>
              <w:rPr>
                <w:sz w:val="16"/>
                <w:szCs w:val="16"/>
              </w:rPr>
            </w:pPr>
            <w:r>
              <w:rPr>
                <w:sz w:val="16"/>
                <w:szCs w:val="16"/>
              </w:rPr>
              <w:t>6.28</w:t>
            </w:r>
            <w:r w:rsidRPr="006870C1">
              <w:rPr>
                <w:sz w:val="16"/>
                <w:szCs w:val="16"/>
              </w:rPr>
              <w:t>±</w:t>
            </w:r>
            <w:r>
              <w:rPr>
                <w:sz w:val="16"/>
                <w:szCs w:val="16"/>
              </w:rPr>
              <w:t>30.76</w:t>
            </w:r>
          </w:p>
        </w:tc>
        <w:tc>
          <w:tcPr>
            <w:tcW w:w="952" w:type="dxa"/>
            <w:tcBorders>
              <w:left w:val="nil"/>
            </w:tcBorders>
          </w:tcPr>
          <w:p w14:paraId="5B795B78" w14:textId="77777777" w:rsidR="001F4946" w:rsidRPr="006870C1" w:rsidRDefault="001F4946" w:rsidP="001F4946">
            <w:pPr>
              <w:pStyle w:val="p1a"/>
              <w:jc w:val="center"/>
              <w:rPr>
                <w:sz w:val="16"/>
                <w:szCs w:val="16"/>
              </w:rPr>
            </w:pPr>
            <w:r>
              <w:rPr>
                <w:sz w:val="16"/>
                <w:szCs w:val="16"/>
              </w:rPr>
              <w:t>28.29</w:t>
            </w:r>
            <w:r w:rsidRPr="006870C1">
              <w:rPr>
                <w:sz w:val="16"/>
                <w:szCs w:val="16"/>
              </w:rPr>
              <w:t>±</w:t>
            </w:r>
            <w:r>
              <w:rPr>
                <w:sz w:val="16"/>
                <w:szCs w:val="16"/>
              </w:rPr>
              <w:t>37.16</w:t>
            </w:r>
          </w:p>
        </w:tc>
      </w:tr>
      <w:tr w:rsidR="001F4946" w:rsidRPr="006870C1" w14:paraId="617F7483" w14:textId="77777777" w:rsidTr="001F4946">
        <w:trPr>
          <w:cantSplit/>
        </w:trPr>
        <w:tc>
          <w:tcPr>
            <w:tcW w:w="1129" w:type="dxa"/>
          </w:tcPr>
          <w:p w14:paraId="597A3B94" w14:textId="77777777" w:rsidR="001F4946" w:rsidRDefault="001F4946" w:rsidP="001F4946">
            <w:pPr>
              <w:pStyle w:val="p1a"/>
              <w:rPr>
                <w:sz w:val="16"/>
                <w:szCs w:val="16"/>
              </w:rPr>
            </w:pPr>
            <w:r>
              <w:rPr>
                <w:sz w:val="16"/>
                <w:szCs w:val="16"/>
              </w:rPr>
              <w:t>+CombinedLoss</w:t>
            </w:r>
          </w:p>
        </w:tc>
        <w:tc>
          <w:tcPr>
            <w:tcW w:w="737" w:type="dxa"/>
            <w:tcBorders>
              <w:right w:val="nil"/>
            </w:tcBorders>
          </w:tcPr>
          <w:p w14:paraId="414C9088" w14:textId="77777777" w:rsidR="001F4946" w:rsidRDefault="001F4946" w:rsidP="001F4946">
            <w:pPr>
              <w:pStyle w:val="p1a"/>
              <w:jc w:val="center"/>
              <w:rPr>
                <w:sz w:val="16"/>
                <w:szCs w:val="16"/>
              </w:rPr>
            </w:pPr>
            <w:r>
              <w:rPr>
                <w:sz w:val="16"/>
                <w:szCs w:val="16"/>
              </w:rPr>
              <w:t>0.84</w:t>
            </w:r>
            <w:r w:rsidRPr="006870C1">
              <w:rPr>
                <w:sz w:val="16"/>
                <w:szCs w:val="16"/>
              </w:rPr>
              <w:t>±</w:t>
            </w:r>
            <w:r>
              <w:rPr>
                <w:sz w:val="16"/>
                <w:szCs w:val="16"/>
              </w:rPr>
              <w:t>0.18</w:t>
            </w:r>
          </w:p>
        </w:tc>
        <w:tc>
          <w:tcPr>
            <w:tcW w:w="737" w:type="dxa"/>
            <w:tcBorders>
              <w:left w:val="nil"/>
              <w:right w:val="nil"/>
            </w:tcBorders>
          </w:tcPr>
          <w:p w14:paraId="31517D3C" w14:textId="77777777" w:rsidR="001F4946" w:rsidRDefault="001F4946" w:rsidP="001F4946">
            <w:pPr>
              <w:pStyle w:val="p1a"/>
              <w:jc w:val="center"/>
              <w:rPr>
                <w:sz w:val="16"/>
                <w:szCs w:val="16"/>
              </w:rPr>
            </w:pPr>
            <w:r>
              <w:rPr>
                <w:sz w:val="16"/>
                <w:szCs w:val="16"/>
              </w:rPr>
              <w:t>0.82</w:t>
            </w:r>
            <w:r w:rsidRPr="006870C1">
              <w:rPr>
                <w:sz w:val="16"/>
                <w:szCs w:val="16"/>
              </w:rPr>
              <w:t>±</w:t>
            </w:r>
            <w:r>
              <w:rPr>
                <w:sz w:val="16"/>
                <w:szCs w:val="16"/>
              </w:rPr>
              <w:t>0.19</w:t>
            </w:r>
          </w:p>
        </w:tc>
        <w:tc>
          <w:tcPr>
            <w:tcW w:w="737" w:type="dxa"/>
            <w:tcBorders>
              <w:left w:val="nil"/>
              <w:right w:val="nil"/>
            </w:tcBorders>
          </w:tcPr>
          <w:p w14:paraId="1E3E39BF" w14:textId="77777777" w:rsidR="001F4946" w:rsidRDefault="001F4946" w:rsidP="001F4946">
            <w:pPr>
              <w:pStyle w:val="p1a"/>
              <w:jc w:val="center"/>
              <w:rPr>
                <w:sz w:val="16"/>
                <w:szCs w:val="16"/>
              </w:rPr>
            </w:pPr>
            <w:r>
              <w:rPr>
                <w:sz w:val="16"/>
                <w:szCs w:val="16"/>
              </w:rPr>
              <w:t>0.82</w:t>
            </w:r>
            <w:r w:rsidRPr="006870C1">
              <w:rPr>
                <w:sz w:val="16"/>
                <w:szCs w:val="16"/>
              </w:rPr>
              <w:t>±</w:t>
            </w:r>
            <w:r>
              <w:rPr>
                <w:sz w:val="16"/>
                <w:szCs w:val="16"/>
              </w:rPr>
              <w:t>0.17</w:t>
            </w:r>
          </w:p>
        </w:tc>
        <w:tc>
          <w:tcPr>
            <w:tcW w:w="737" w:type="dxa"/>
            <w:tcBorders>
              <w:left w:val="nil"/>
              <w:right w:val="nil"/>
            </w:tcBorders>
          </w:tcPr>
          <w:p w14:paraId="543A0AC9" w14:textId="77777777" w:rsidR="001F4946" w:rsidRDefault="001F4946" w:rsidP="001F4946">
            <w:pPr>
              <w:pStyle w:val="p1a"/>
              <w:jc w:val="center"/>
              <w:rPr>
                <w:sz w:val="16"/>
                <w:szCs w:val="16"/>
              </w:rPr>
            </w:pPr>
            <w:r>
              <w:rPr>
                <w:sz w:val="16"/>
                <w:szCs w:val="16"/>
              </w:rPr>
              <w:t>0.72</w:t>
            </w:r>
            <w:r w:rsidRPr="006870C1">
              <w:rPr>
                <w:sz w:val="16"/>
                <w:szCs w:val="16"/>
              </w:rPr>
              <w:t>±</w:t>
            </w:r>
            <w:r>
              <w:rPr>
                <w:sz w:val="16"/>
                <w:szCs w:val="16"/>
              </w:rPr>
              <w:t>0.17</w:t>
            </w:r>
          </w:p>
        </w:tc>
        <w:tc>
          <w:tcPr>
            <w:tcW w:w="907" w:type="dxa"/>
            <w:tcBorders>
              <w:left w:val="nil"/>
              <w:right w:val="nil"/>
            </w:tcBorders>
          </w:tcPr>
          <w:p w14:paraId="51BC95EA" w14:textId="77777777" w:rsidR="001F4946" w:rsidRDefault="001F4946" w:rsidP="001F4946">
            <w:pPr>
              <w:pStyle w:val="p1a"/>
              <w:jc w:val="center"/>
              <w:rPr>
                <w:sz w:val="16"/>
                <w:szCs w:val="16"/>
              </w:rPr>
            </w:pPr>
            <w:r>
              <w:rPr>
                <w:sz w:val="16"/>
                <w:szCs w:val="16"/>
              </w:rPr>
              <w:t>10.54</w:t>
            </w:r>
            <w:r w:rsidRPr="006870C1">
              <w:rPr>
                <w:sz w:val="16"/>
                <w:szCs w:val="16"/>
              </w:rPr>
              <w:t>±</w:t>
            </w:r>
            <w:r>
              <w:rPr>
                <w:sz w:val="16"/>
                <w:szCs w:val="16"/>
              </w:rPr>
              <w:t>24.13</w:t>
            </w:r>
          </w:p>
        </w:tc>
        <w:tc>
          <w:tcPr>
            <w:tcW w:w="907" w:type="dxa"/>
            <w:tcBorders>
              <w:left w:val="nil"/>
              <w:right w:val="nil"/>
            </w:tcBorders>
          </w:tcPr>
          <w:p w14:paraId="4AD00421" w14:textId="77777777" w:rsidR="001F4946" w:rsidRDefault="001F4946" w:rsidP="001F4946">
            <w:pPr>
              <w:pStyle w:val="p1a"/>
              <w:jc w:val="center"/>
              <w:rPr>
                <w:sz w:val="16"/>
                <w:szCs w:val="16"/>
              </w:rPr>
            </w:pPr>
            <w:r>
              <w:rPr>
                <w:sz w:val="16"/>
                <w:szCs w:val="16"/>
              </w:rPr>
              <w:t>3.80</w:t>
            </w:r>
            <w:r w:rsidRPr="006870C1">
              <w:rPr>
                <w:sz w:val="16"/>
                <w:szCs w:val="16"/>
              </w:rPr>
              <w:t>±</w:t>
            </w:r>
            <w:r>
              <w:rPr>
                <w:sz w:val="16"/>
                <w:szCs w:val="16"/>
              </w:rPr>
              <w:t>25.39</w:t>
            </w:r>
          </w:p>
        </w:tc>
        <w:tc>
          <w:tcPr>
            <w:tcW w:w="952" w:type="dxa"/>
            <w:tcBorders>
              <w:left w:val="nil"/>
            </w:tcBorders>
          </w:tcPr>
          <w:p w14:paraId="293B42D3" w14:textId="77777777" w:rsidR="001F4946" w:rsidRDefault="001F4946" w:rsidP="001F4946">
            <w:pPr>
              <w:pStyle w:val="p1a"/>
              <w:jc w:val="center"/>
              <w:rPr>
                <w:sz w:val="16"/>
                <w:szCs w:val="16"/>
              </w:rPr>
            </w:pPr>
            <w:r>
              <w:rPr>
                <w:sz w:val="16"/>
                <w:szCs w:val="16"/>
              </w:rPr>
              <w:t>24.83</w:t>
            </w:r>
            <w:r w:rsidRPr="006870C1">
              <w:rPr>
                <w:sz w:val="16"/>
                <w:szCs w:val="16"/>
              </w:rPr>
              <w:t>±</w:t>
            </w:r>
            <w:r>
              <w:rPr>
                <w:sz w:val="16"/>
                <w:szCs w:val="16"/>
              </w:rPr>
              <w:t>31.64</w:t>
            </w:r>
          </w:p>
        </w:tc>
      </w:tr>
      <w:tr w:rsidR="001F4946" w:rsidRPr="006870C1" w14:paraId="6473B74F" w14:textId="77777777" w:rsidTr="001F4946">
        <w:trPr>
          <w:cantSplit/>
        </w:trPr>
        <w:tc>
          <w:tcPr>
            <w:tcW w:w="1129" w:type="dxa"/>
            <w:shd w:val="clear" w:color="auto" w:fill="E7E6E6" w:themeFill="background2"/>
          </w:tcPr>
          <w:p w14:paraId="71A5B9F3" w14:textId="77777777" w:rsidR="001F4946" w:rsidRDefault="001F4946" w:rsidP="001F4946">
            <w:pPr>
              <w:pStyle w:val="p1a"/>
              <w:rPr>
                <w:sz w:val="16"/>
                <w:szCs w:val="16"/>
              </w:rPr>
            </w:pPr>
            <w:r>
              <w:rPr>
                <w:sz w:val="16"/>
                <w:szCs w:val="16"/>
              </w:rPr>
              <w:t>+Ensemble</w:t>
            </w:r>
          </w:p>
        </w:tc>
        <w:tc>
          <w:tcPr>
            <w:tcW w:w="737" w:type="dxa"/>
            <w:tcBorders>
              <w:right w:val="nil"/>
            </w:tcBorders>
            <w:shd w:val="clear" w:color="auto" w:fill="E7E6E6" w:themeFill="background2"/>
          </w:tcPr>
          <w:p w14:paraId="7DDBA2D9" w14:textId="77777777" w:rsidR="001F4946" w:rsidRPr="00B21FC5" w:rsidRDefault="001F4946" w:rsidP="001F4946">
            <w:pPr>
              <w:pStyle w:val="p1a"/>
              <w:jc w:val="center"/>
              <w:rPr>
                <w:b/>
                <w:bCs/>
                <w:sz w:val="16"/>
                <w:szCs w:val="16"/>
              </w:rPr>
            </w:pPr>
            <w:r w:rsidRPr="00B21FC5">
              <w:rPr>
                <w:b/>
                <w:bCs/>
                <w:sz w:val="16"/>
                <w:szCs w:val="16"/>
              </w:rPr>
              <w:t>0.88±0.11</w:t>
            </w:r>
          </w:p>
        </w:tc>
        <w:tc>
          <w:tcPr>
            <w:tcW w:w="737" w:type="dxa"/>
            <w:tcBorders>
              <w:left w:val="nil"/>
              <w:right w:val="nil"/>
            </w:tcBorders>
            <w:shd w:val="clear" w:color="auto" w:fill="E7E6E6" w:themeFill="background2"/>
          </w:tcPr>
          <w:p w14:paraId="6E035D89" w14:textId="77777777" w:rsidR="001F4946" w:rsidRPr="00B21FC5" w:rsidRDefault="001F4946" w:rsidP="001F4946">
            <w:pPr>
              <w:pStyle w:val="p1a"/>
              <w:jc w:val="center"/>
              <w:rPr>
                <w:b/>
                <w:bCs/>
                <w:sz w:val="16"/>
                <w:szCs w:val="16"/>
              </w:rPr>
            </w:pPr>
            <w:r w:rsidRPr="00B21FC5">
              <w:rPr>
                <w:b/>
                <w:bCs/>
                <w:sz w:val="16"/>
                <w:szCs w:val="16"/>
              </w:rPr>
              <w:t>0.83±0.13</w:t>
            </w:r>
          </w:p>
        </w:tc>
        <w:tc>
          <w:tcPr>
            <w:tcW w:w="737" w:type="dxa"/>
            <w:tcBorders>
              <w:left w:val="nil"/>
              <w:right w:val="nil"/>
            </w:tcBorders>
            <w:shd w:val="clear" w:color="auto" w:fill="E7E6E6" w:themeFill="background2"/>
          </w:tcPr>
          <w:p w14:paraId="1228309B" w14:textId="77777777" w:rsidR="001F4946" w:rsidRPr="00B21FC5" w:rsidRDefault="001F4946" w:rsidP="001F4946">
            <w:pPr>
              <w:pStyle w:val="p1a"/>
              <w:jc w:val="center"/>
              <w:rPr>
                <w:b/>
                <w:bCs/>
                <w:sz w:val="16"/>
                <w:szCs w:val="16"/>
              </w:rPr>
            </w:pPr>
            <w:r w:rsidRPr="00B21FC5">
              <w:rPr>
                <w:b/>
                <w:bCs/>
                <w:sz w:val="16"/>
                <w:szCs w:val="16"/>
              </w:rPr>
              <w:t>0.84±0.10</w:t>
            </w:r>
          </w:p>
        </w:tc>
        <w:tc>
          <w:tcPr>
            <w:tcW w:w="737" w:type="dxa"/>
            <w:tcBorders>
              <w:left w:val="nil"/>
              <w:right w:val="nil"/>
            </w:tcBorders>
            <w:shd w:val="clear" w:color="auto" w:fill="E7E6E6" w:themeFill="background2"/>
          </w:tcPr>
          <w:p w14:paraId="2ADD6A13" w14:textId="77777777" w:rsidR="001F4946" w:rsidRPr="00B21FC5" w:rsidRDefault="001F4946" w:rsidP="001F4946">
            <w:pPr>
              <w:pStyle w:val="p1a"/>
              <w:jc w:val="center"/>
              <w:rPr>
                <w:b/>
                <w:bCs/>
                <w:sz w:val="16"/>
                <w:szCs w:val="16"/>
              </w:rPr>
            </w:pPr>
            <w:r w:rsidRPr="00B21FC5">
              <w:rPr>
                <w:b/>
                <w:bCs/>
                <w:sz w:val="16"/>
                <w:szCs w:val="16"/>
              </w:rPr>
              <w:t>0.74±0.13</w:t>
            </w:r>
          </w:p>
        </w:tc>
        <w:tc>
          <w:tcPr>
            <w:tcW w:w="907" w:type="dxa"/>
            <w:tcBorders>
              <w:left w:val="nil"/>
              <w:right w:val="nil"/>
            </w:tcBorders>
            <w:shd w:val="clear" w:color="auto" w:fill="E7E6E6" w:themeFill="background2"/>
          </w:tcPr>
          <w:p w14:paraId="0B3B247C" w14:textId="77777777" w:rsidR="001F4946" w:rsidRPr="00B21FC5" w:rsidRDefault="001F4946" w:rsidP="001F4946">
            <w:pPr>
              <w:pStyle w:val="p1a"/>
              <w:jc w:val="center"/>
              <w:rPr>
                <w:b/>
                <w:bCs/>
                <w:sz w:val="16"/>
                <w:szCs w:val="16"/>
              </w:rPr>
            </w:pPr>
            <w:r w:rsidRPr="00B21FC5">
              <w:rPr>
                <w:b/>
                <w:bCs/>
                <w:sz w:val="16"/>
                <w:szCs w:val="16"/>
              </w:rPr>
              <w:t>6.89±4.33</w:t>
            </w:r>
          </w:p>
        </w:tc>
        <w:tc>
          <w:tcPr>
            <w:tcW w:w="907" w:type="dxa"/>
            <w:tcBorders>
              <w:left w:val="nil"/>
              <w:right w:val="nil"/>
            </w:tcBorders>
            <w:shd w:val="clear" w:color="auto" w:fill="E7E6E6" w:themeFill="background2"/>
          </w:tcPr>
          <w:p w14:paraId="76F36AC2" w14:textId="77777777" w:rsidR="001F4946" w:rsidRPr="00B21FC5" w:rsidRDefault="001F4946" w:rsidP="001F4946">
            <w:pPr>
              <w:pStyle w:val="p1a"/>
              <w:jc w:val="center"/>
              <w:rPr>
                <w:b/>
                <w:bCs/>
                <w:sz w:val="16"/>
                <w:szCs w:val="16"/>
              </w:rPr>
            </w:pPr>
            <w:r w:rsidRPr="00B21FC5">
              <w:rPr>
                <w:b/>
                <w:bCs/>
                <w:sz w:val="16"/>
                <w:szCs w:val="16"/>
              </w:rPr>
              <w:t>-0.60±5.90</w:t>
            </w:r>
          </w:p>
        </w:tc>
        <w:tc>
          <w:tcPr>
            <w:tcW w:w="952" w:type="dxa"/>
            <w:tcBorders>
              <w:left w:val="nil"/>
            </w:tcBorders>
            <w:shd w:val="clear" w:color="auto" w:fill="E7E6E6" w:themeFill="background2"/>
          </w:tcPr>
          <w:p w14:paraId="735379C7" w14:textId="77777777" w:rsidR="001F4946" w:rsidRPr="00B21FC5" w:rsidRDefault="001F4946" w:rsidP="001F4946">
            <w:pPr>
              <w:pStyle w:val="p1a"/>
              <w:jc w:val="center"/>
              <w:rPr>
                <w:b/>
                <w:bCs/>
                <w:sz w:val="16"/>
                <w:szCs w:val="16"/>
              </w:rPr>
            </w:pPr>
            <w:r w:rsidRPr="00B21FC5">
              <w:rPr>
                <w:b/>
                <w:bCs/>
                <w:sz w:val="16"/>
                <w:szCs w:val="16"/>
              </w:rPr>
              <w:t>19.86±12.40</w:t>
            </w:r>
          </w:p>
        </w:tc>
      </w:tr>
    </w:tbl>
    <w:p w14:paraId="7388C24F" w14:textId="71C709E1" w:rsidR="00DF47D0" w:rsidRDefault="006C361F" w:rsidP="00DF47D0">
      <w:r>
        <w:t>The results of the</w:t>
      </w:r>
      <w:r w:rsidRPr="00165288">
        <w:t xml:space="preserve"> ablation study</w:t>
      </w:r>
      <w:r>
        <w:t xml:space="preserve"> are shown in </w:t>
      </w:r>
      <w:r>
        <w:fldChar w:fldCharType="begin"/>
      </w:r>
      <w:r>
        <w:instrText xml:space="preserve"> REF _Ref201326944 \h </w:instrText>
      </w:r>
      <w:r>
        <w:fldChar w:fldCharType="separate"/>
      </w:r>
      <w:r w:rsidR="006F2C26">
        <w:rPr>
          <w:b/>
        </w:rPr>
        <w:t xml:space="preserve">Table </w:t>
      </w:r>
      <w:r w:rsidR="006F2C26">
        <w:rPr>
          <w:b/>
          <w:noProof/>
        </w:rPr>
        <w:t>1</w:t>
      </w:r>
      <w:r>
        <w:fldChar w:fldCharType="end"/>
      </w:r>
      <w:r w:rsidRPr="00165288">
        <w:t xml:space="preserve"> </w:t>
      </w:r>
      <w:r>
        <w:t>and were</w:t>
      </w:r>
      <w:r w:rsidRPr="00165288">
        <w:t xml:space="preserve"> conducted to isolate the effect of each added XBoundNet++ component. Starting from the LeXNet++</w:t>
      </w:r>
      <w:r>
        <w:t xml:space="preserve"> [</w:t>
      </w:r>
      <w:r>
        <w:fldChar w:fldCharType="begin"/>
      </w:r>
      <w:r>
        <w:instrText xml:space="preserve"> REF _Ref201774985 \r \h </w:instrText>
      </w:r>
      <w:r>
        <w:fldChar w:fldCharType="separate"/>
      </w:r>
      <w:r w:rsidR="006F2C26">
        <w:t>5</w:t>
      </w:r>
      <w:r>
        <w:fldChar w:fldCharType="end"/>
      </w:r>
      <w:r>
        <w:t>]</w:t>
      </w:r>
      <w:r w:rsidRPr="00165288">
        <w:t xml:space="preserve"> baseline, which lacks data augmentation, post-processing, and loss customization, we observe steady improvements across all metrics with each addition. XBoundNet++ alone improves DSC by 11%, recall by 1</w:t>
      </w:r>
      <w:r>
        <w:t>4</w:t>
      </w:r>
      <w:r w:rsidRPr="00165288">
        <w:t>%, and HD by 25 pixels. Adding data augmentation further boosts DSC by 12%, Jaccard by 22%, and reduces MAD and MSD by over 9 pixels. Post-processing and the combined loss yield additional gains in boundary</w:t>
      </w:r>
      <w:r>
        <w:t>-related</w:t>
      </w:r>
      <w:r w:rsidRPr="00165288">
        <w:t xml:space="preserve"> metrics, notably 3% DSC and a 15-pixel HD reduction. Finally, the ensemble improves all metrics, culminating in a 29% gain in DSC and Jaccard, 20% precision, and 67.1-pixel HD reduction compared to the baseline.</w:t>
      </w:r>
      <w:r w:rsidR="00DF47D0">
        <w:t xml:space="preserve"> </w:t>
      </w:r>
    </w:p>
    <w:p w14:paraId="6800D85C" w14:textId="5B95D256" w:rsidR="006C361F" w:rsidRDefault="006C361F" w:rsidP="00DF47D0">
      <w:r>
        <w:t xml:space="preserve">While these metrics demonstrate the quality of our proposed model, it is important to consider that there is no clear ground-truth in this application because KAZ boundaries are inherently ambiguous and the </w:t>
      </w:r>
      <w:proofErr w:type="gramStart"/>
      <w:r>
        <w:t>manually-drawn</w:t>
      </w:r>
      <w:proofErr w:type="gramEnd"/>
      <w:r>
        <w:t xml:space="preserve"> masks are subject to user variability. Thus, quantitative gains do not always capture the full clinical value (i.e., rows 2 and 3 in</w:t>
      </w:r>
      <w:r w:rsidR="009F1052">
        <w:t xml:space="preserve"> </w:t>
      </w:r>
      <w:r w:rsidR="009F1052">
        <w:fldChar w:fldCharType="begin"/>
      </w:r>
      <w:r w:rsidR="009F1052">
        <w:instrText xml:space="preserve"> REF _Ref205242760 \h </w:instrText>
      </w:r>
      <w:r w:rsidR="009F1052">
        <w:fldChar w:fldCharType="separate"/>
      </w:r>
      <w:r w:rsidR="006F2C26">
        <w:rPr>
          <w:b/>
        </w:rPr>
        <w:t xml:space="preserve">Fig. </w:t>
      </w:r>
      <w:r w:rsidR="006F2C26">
        <w:rPr>
          <w:b/>
          <w:noProof/>
        </w:rPr>
        <w:t>3</w:t>
      </w:r>
      <w:r w:rsidR="009F1052">
        <w:fldChar w:fldCharType="end"/>
      </w:r>
      <w:r>
        <w:t xml:space="preserve">, where the model outperformed the annotation – based on post-hoc review). </w:t>
      </w:r>
    </w:p>
    <w:p w14:paraId="368A39A4" w14:textId="4F5E1963" w:rsidR="00A72462" w:rsidRDefault="00A72462" w:rsidP="00A958B6">
      <w:pPr>
        <w:pStyle w:val="heading2"/>
      </w:pPr>
      <w:r>
        <w:lastRenderedPageBreak/>
        <w:t>Model Transparency</w:t>
      </w:r>
    </w:p>
    <w:p w14:paraId="79A910AE" w14:textId="20BAD8C2" w:rsidR="005207DE" w:rsidRPr="004E0DF7" w:rsidRDefault="0036560C" w:rsidP="00EA3065">
      <w:pPr>
        <w:ind w:firstLine="0"/>
      </w:pPr>
      <w:r>
        <w:t>As visualized in</w:t>
      </w:r>
      <w:r w:rsidR="005345E1">
        <w:t xml:space="preserve"> </w:t>
      </w:r>
      <w:r w:rsidR="005345E1">
        <w:fldChar w:fldCharType="begin"/>
      </w:r>
      <w:r w:rsidR="005345E1">
        <w:instrText xml:space="preserve"> REF _Ref205233892 \h </w:instrText>
      </w:r>
      <w:r w:rsidR="005345E1">
        <w:fldChar w:fldCharType="separate"/>
      </w:r>
      <w:r w:rsidR="006F2C26">
        <w:rPr>
          <w:b/>
        </w:rPr>
        <w:t xml:space="preserve">Fig. </w:t>
      </w:r>
      <w:r w:rsidR="006F2C26">
        <w:rPr>
          <w:b/>
          <w:noProof/>
        </w:rPr>
        <w:t>2</w:t>
      </w:r>
      <w:r w:rsidR="005345E1">
        <w:fldChar w:fldCharType="end"/>
      </w:r>
      <w:r>
        <w:t xml:space="preserve">, early convolutional layers tend to activate broadly across the ablation zone, while deeper layers increasingly emphasize peripheral boundary regions, particularly near ambiguous areas. </w:t>
      </w:r>
      <w:r w:rsidR="00874B5D" w:rsidRPr="00874B5D">
        <w:t>The heatmaps clearly illustrate a transition from low-level texture detection in early layers to high-level semantic abstraction in deeper layers, confirming that the network progressively refines its attention toward clinically relevant boundaries.</w:t>
      </w:r>
      <w:r w:rsidR="00874B5D">
        <w:t xml:space="preserve"> As a result, we </w:t>
      </w:r>
      <w:r w:rsidR="00E42CD6">
        <w:t>can</w:t>
      </w:r>
      <w:r w:rsidR="00874B5D">
        <w:t xml:space="preserve"> clearly track information flow and decision making, revealing </w:t>
      </w:r>
      <w:r w:rsidR="00EA3065">
        <w:t xml:space="preserve">the model’s focus, enabling trustworthy AI. </w:t>
      </w:r>
    </w:p>
    <w:p w14:paraId="288AF972" w14:textId="792AAC66" w:rsidR="00A72462" w:rsidRDefault="00A72462" w:rsidP="00A72462">
      <w:pPr>
        <w:pStyle w:val="heading2"/>
      </w:pPr>
      <w:r>
        <w:t>Uncertainty Analysis</w:t>
      </w:r>
    </w:p>
    <w:p w14:paraId="585DC62F" w14:textId="7EE0C83F" w:rsidR="003D3E6F" w:rsidRDefault="003044BB" w:rsidP="0069398F">
      <w:pPr>
        <w:ind w:firstLine="0"/>
      </w:pPr>
      <w:r>
        <w:fldChar w:fldCharType="begin"/>
      </w:r>
      <w:r>
        <w:instrText xml:space="preserve"> REF _Ref201843341 \h </w:instrText>
      </w:r>
      <w:r>
        <w:fldChar w:fldCharType="separate"/>
      </w:r>
      <w:r w:rsidR="006F2C26">
        <w:rPr>
          <w:b/>
        </w:rPr>
        <w:t xml:space="preserve">Fig. </w:t>
      </w:r>
      <w:r w:rsidR="006F2C26">
        <w:rPr>
          <w:b/>
          <w:noProof/>
        </w:rPr>
        <w:t>4</w:t>
      </w:r>
      <w:r>
        <w:fldChar w:fldCharType="end"/>
      </w:r>
      <w:r>
        <w:t xml:space="preserve"> </w:t>
      </w:r>
      <w:r w:rsidR="00584A76">
        <w:t>illustrates</w:t>
      </w:r>
      <w:r w:rsidR="0069398F">
        <w:t xml:space="preserve"> a </w:t>
      </w:r>
      <w:r w:rsidR="00584A76">
        <w:t xml:space="preserve">qualitative </w:t>
      </w:r>
      <w:r w:rsidR="0069398F">
        <w:t xml:space="preserve">analysis of a given patients’ </w:t>
      </w:r>
      <w:r w:rsidR="00584A76">
        <w:t xml:space="preserve">KAZ region and provides more insight for clinicians. </w:t>
      </w:r>
      <w:r w:rsidR="00DB3C7F">
        <w:t>The</w:t>
      </w:r>
      <w:r w:rsidR="00584A76">
        <w:t xml:space="preserve"> prediction doesn’t span over the healthy tissue at the bottom despite the manual annotation including it. </w:t>
      </w:r>
      <w:r w:rsidR="00F35667">
        <w:t xml:space="preserve">The clinician can refer to the probability and uncertainty overlays to manually scrutinize areas with less confidence and higher uncertainty. </w:t>
      </w:r>
      <w:r w:rsidR="007F4CED" w:rsidRPr="007F4CED">
        <w:t>The results show that decreasing the threshold leads to filtering out pixels of high uncertainty only.</w:t>
      </w:r>
    </w:p>
    <w:p w14:paraId="3B01F8D6" w14:textId="7ADC6D27" w:rsidR="003D3E6F" w:rsidRDefault="002F3CD3" w:rsidP="002F3CD3">
      <w:pPr>
        <w:pStyle w:val="image"/>
      </w:pPr>
      <w:r>
        <w:rPr>
          <w:noProof/>
        </w:rPr>
        <w:drawing>
          <wp:inline distT="0" distB="0" distL="0" distR="0" wp14:anchorId="41AA0542" wp14:editId="25D3DC44">
            <wp:extent cx="3788068" cy="1842347"/>
            <wp:effectExtent l="0" t="0" r="0" b="0"/>
            <wp:docPr id="181566838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4">
                      <a:extLst>
                        <a:ext uri="{28A0092B-C50C-407E-A947-70E740481C1C}">
                          <a14:useLocalDpi xmlns:a14="http://schemas.microsoft.com/office/drawing/2010/main" val="0"/>
                        </a:ext>
                      </a:extLst>
                    </a:blip>
                    <a:srcRect t="2284" r="3419" b="5038"/>
                    <a:stretch>
                      <a:fillRect/>
                    </a:stretch>
                  </pic:blipFill>
                  <pic:spPr bwMode="auto">
                    <a:xfrm>
                      <a:off x="0" y="0"/>
                      <a:ext cx="3815783" cy="1855827"/>
                    </a:xfrm>
                    <a:prstGeom prst="rect">
                      <a:avLst/>
                    </a:prstGeom>
                    <a:noFill/>
                    <a:ln>
                      <a:noFill/>
                    </a:ln>
                    <a:extLst>
                      <a:ext uri="{53640926-AAD7-44D8-BBD7-CCE9431645EC}">
                        <a14:shadowObscured xmlns:a14="http://schemas.microsoft.com/office/drawing/2010/main"/>
                      </a:ext>
                    </a:extLst>
                  </pic:spPr>
                </pic:pic>
              </a:graphicData>
            </a:graphic>
          </wp:inline>
        </w:drawing>
      </w:r>
    </w:p>
    <w:p w14:paraId="2B5D5465" w14:textId="786B8F73" w:rsidR="00D808C1" w:rsidRPr="00D808C1" w:rsidRDefault="00194DB7" w:rsidP="00194DB7">
      <w:pPr>
        <w:pStyle w:val="figurecaption"/>
        <w:jc w:val="both"/>
      </w:pPr>
      <w:bookmarkStart w:id="6" w:name="_Ref201843341"/>
      <w:r>
        <w:rPr>
          <w:b/>
        </w:rPr>
        <w:t xml:space="preserve">Fig. </w:t>
      </w:r>
      <w:r>
        <w:rPr>
          <w:b/>
        </w:rPr>
        <w:fldChar w:fldCharType="begin"/>
      </w:r>
      <w:r>
        <w:rPr>
          <w:b/>
        </w:rPr>
        <w:instrText xml:space="preserve"> SEQ "Figure" \* MERGEFORMAT </w:instrText>
      </w:r>
      <w:r>
        <w:rPr>
          <w:b/>
        </w:rPr>
        <w:fldChar w:fldCharType="separate"/>
      </w:r>
      <w:r w:rsidR="006F2C26">
        <w:rPr>
          <w:b/>
          <w:noProof/>
        </w:rPr>
        <w:t>4</w:t>
      </w:r>
      <w:r>
        <w:rPr>
          <w:b/>
        </w:rPr>
        <w:fldChar w:fldCharType="end"/>
      </w:r>
      <w:bookmarkEnd w:id="6"/>
      <w:r>
        <w:rPr>
          <w:b/>
        </w:rPr>
        <w:t>.</w:t>
      </w:r>
      <w:r>
        <w:t xml:space="preserve"> </w:t>
      </w:r>
      <w:r w:rsidR="005520C0" w:rsidRPr="00194DB7">
        <w:t>XBoundNet++</w:t>
      </w:r>
      <w:r w:rsidR="005520C0">
        <w:t xml:space="preserve"> results</w:t>
      </w:r>
      <w:r w:rsidR="00F329C1">
        <w:t xml:space="preserve">, uncertainty, probability, and thresholding visualized over </w:t>
      </w:r>
      <w:r w:rsidR="005520C0">
        <w:t>a patient</w:t>
      </w:r>
      <w:r w:rsidR="00F329C1">
        <w:t xml:space="preserve">’s CT slice. (a) CT original patient image slice, (b) Manually annotated mask, (c) XBoundNet++ predicted mask, (d) Probability map based on MC and ensembling, (e) Predicted entropy map from the probability map, (f) </w:t>
      </w:r>
      <w:r w:rsidR="00970C7B">
        <w:t xml:space="preserve">Uncertainty threshold = 100, (g) Uncertainty threshold = 75, (h) Uncertainty threshold = 50, (i) Uncertainty threshold = 25. It is desired that with more filtered out, more </w:t>
      </w:r>
      <w:r w:rsidR="00970C7B" w:rsidRPr="00CA578E">
        <w:rPr>
          <w:color w:val="2F5496" w:themeColor="accent5" w:themeShade="BF"/>
        </w:rPr>
        <w:t>False Positives</w:t>
      </w:r>
      <w:r w:rsidR="00CA578E" w:rsidRPr="00CA578E">
        <w:rPr>
          <w:color w:val="2F5496" w:themeColor="accent5" w:themeShade="BF"/>
        </w:rPr>
        <w:t xml:space="preserve"> </w:t>
      </w:r>
      <w:r w:rsidR="00970C7B">
        <w:t xml:space="preserve">and </w:t>
      </w:r>
      <w:r w:rsidR="00970C7B" w:rsidRPr="00CA578E">
        <w:rPr>
          <w:color w:val="FF0000"/>
        </w:rPr>
        <w:t>False Negatives</w:t>
      </w:r>
      <w:r w:rsidR="00970C7B">
        <w:t xml:space="preserve"> pixels are filtered out (marked </w:t>
      </w:r>
      <w:r w:rsidR="00970C7B" w:rsidRPr="00CA578E">
        <w:rPr>
          <w:color w:val="9CC2E5" w:themeColor="accent1" w:themeTint="99"/>
        </w:rPr>
        <w:t>uncertain</w:t>
      </w:r>
      <w:r w:rsidR="00CA578E">
        <w:t>)</w:t>
      </w:r>
      <w:r w:rsidR="00970C7B">
        <w:t xml:space="preserve">, while </w:t>
      </w:r>
      <w:r w:rsidR="00970C7B" w:rsidRPr="00CA578E">
        <w:rPr>
          <w:color w:val="44B04A"/>
        </w:rPr>
        <w:t>True Positive</w:t>
      </w:r>
      <w:r w:rsidR="00970C7B">
        <w:t xml:space="preserve"> pixels remain unfiltered. </w:t>
      </w:r>
    </w:p>
    <w:p w14:paraId="264F434B" w14:textId="2C376EE3" w:rsidR="002E135E" w:rsidRDefault="002E135E" w:rsidP="002E135E">
      <w:pPr>
        <w:pStyle w:val="heading1"/>
      </w:pPr>
      <w:r>
        <w:t>Conclusions</w:t>
      </w:r>
    </w:p>
    <w:p w14:paraId="36B3EB22" w14:textId="4488C91D" w:rsidR="000046C7" w:rsidRDefault="000046C7" w:rsidP="000046C7">
      <w:pPr>
        <w:pStyle w:val="p1a"/>
      </w:pPr>
      <w:r>
        <w:t xml:space="preserve">In this work, we propose XBoundNet++, </w:t>
      </w:r>
      <w:r w:rsidR="0014176E">
        <w:t xml:space="preserve">a novel deep learning </w:t>
      </w:r>
      <w:r w:rsidR="00260C56">
        <w:t xml:space="preserve">segmentation </w:t>
      </w:r>
      <w:r w:rsidR="0014176E">
        <w:t xml:space="preserve">framework that provides clinicians with </w:t>
      </w:r>
      <w:r w:rsidR="00260C56">
        <w:t xml:space="preserve">several auxiliary interpretable and uncertainty tools to better </w:t>
      </w:r>
      <w:r w:rsidR="00FE2AD9">
        <w:t>equip them</w:t>
      </w:r>
      <w:r w:rsidR="00260C56">
        <w:t xml:space="preserve"> for clinically challenging contexts such as poor image contrast, no delineated boundary, or incomplete labels. The model excels at segmentation based on </w:t>
      </w:r>
      <w:r w:rsidR="00260C56">
        <w:lastRenderedPageBreak/>
        <w:t>several key metrics, provides in-depth transparency</w:t>
      </w:r>
      <w:r w:rsidR="00F02872">
        <w:t xml:space="preserve"> using Grad-CAM</w:t>
      </w:r>
      <w:r w:rsidR="00260C56">
        <w:t xml:space="preserve">, and uncertainty estimation </w:t>
      </w:r>
      <w:r w:rsidR="00F02872">
        <w:t xml:space="preserve">generated by Bayesian MC dropout and model ensembling. </w:t>
      </w:r>
      <w:r w:rsidR="00F02872" w:rsidRPr="00F02872">
        <w:t>By offering transparency</w:t>
      </w:r>
      <w:r w:rsidR="00FE2AD9">
        <w:t xml:space="preserve">, </w:t>
      </w:r>
      <w:r w:rsidR="00F02872" w:rsidRPr="00F02872">
        <w:t>spatial uncertainty</w:t>
      </w:r>
      <w:r w:rsidR="00791328">
        <w:t>,</w:t>
      </w:r>
      <w:r w:rsidR="00F02872" w:rsidRPr="00F02872">
        <w:t xml:space="preserve"> </w:t>
      </w:r>
      <w:r w:rsidR="00F02872">
        <w:t xml:space="preserve">and probability </w:t>
      </w:r>
      <w:r w:rsidR="00F02872" w:rsidRPr="00F02872">
        <w:t xml:space="preserve">overlays, XBoundNet++ enables more informed clinical review and supports safer, more trustworthy AI-assisted decision-making in interventional </w:t>
      </w:r>
      <w:r w:rsidR="00FE2AD9">
        <w:t>radiology</w:t>
      </w:r>
      <w:r w:rsidR="00F02872" w:rsidRPr="00F02872">
        <w:t>.</w:t>
      </w:r>
    </w:p>
    <w:p w14:paraId="0727E1E5" w14:textId="21525F44" w:rsidR="00635374" w:rsidRDefault="00110B05" w:rsidP="00110B05">
      <w:r w:rsidRPr="00110B05">
        <w:t>The small dataset size, single-expert annotations, and use of 2D radial slices reflect common constraints in real-world clinical contexts</w:t>
      </w:r>
      <w:r>
        <w:t xml:space="preserve">. </w:t>
      </w:r>
      <w:r w:rsidRPr="00110B05">
        <w:t>Rather than being limitations of the model, these challenges motivated our framework's design—tailored for clinically ambiguous labels and limited data.</w:t>
      </w:r>
      <w:r>
        <w:t xml:space="preserve"> </w:t>
      </w:r>
      <w:r w:rsidR="00814062" w:rsidRPr="00814062">
        <w:t>Standard models such as U-Net [</w:t>
      </w:r>
      <w:r w:rsidR="00814062">
        <w:fldChar w:fldCharType="begin"/>
      </w:r>
      <w:r w:rsidR="00814062">
        <w:instrText xml:space="preserve"> REF _Ref204163802 \r \h </w:instrText>
      </w:r>
      <w:r w:rsidR="00814062">
        <w:fldChar w:fldCharType="separate"/>
      </w:r>
      <w:r w:rsidR="006F2C26">
        <w:t>23</w:t>
      </w:r>
      <w:r w:rsidR="00814062">
        <w:fldChar w:fldCharType="end"/>
      </w:r>
      <w:r w:rsidR="00814062" w:rsidRPr="00814062">
        <w:t xml:space="preserve">], while foundational in medical image segmentation, were not designed with uncertainty quantification or model transparency in mind. U-Net lacks mechanisms for epistemic or aleatoric uncertainty </w:t>
      </w:r>
      <w:proofErr w:type="gramStart"/>
      <w:r w:rsidR="00814062" w:rsidRPr="00814062">
        <w:t>estimation, and</w:t>
      </w:r>
      <w:proofErr w:type="gramEnd"/>
      <w:r w:rsidR="00814062" w:rsidRPr="00814062">
        <w:t xml:space="preserve"> offers no tools for layer-wise interpretability or confidence-guided clinical review—capabilities that are essential in interventional radiology</w:t>
      </w:r>
      <w:r w:rsidR="00814062">
        <w:t xml:space="preserve">. </w:t>
      </w:r>
      <w:r>
        <w:t>While adapting to</w:t>
      </w:r>
      <w:r w:rsidR="00957E6F" w:rsidRPr="00957E6F">
        <w:t xml:space="preserve"> 3D segmentation methods like nnU-Net [</w:t>
      </w:r>
      <w:r w:rsidR="00865BE8">
        <w:fldChar w:fldCharType="begin"/>
      </w:r>
      <w:r w:rsidR="00865BE8">
        <w:instrText xml:space="preserve"> REF _Ref204768894 \r \h </w:instrText>
      </w:r>
      <w:r w:rsidR="00865BE8">
        <w:fldChar w:fldCharType="separate"/>
      </w:r>
      <w:r w:rsidR="006F2C26">
        <w:t>11</w:t>
      </w:r>
      <w:r w:rsidR="00865BE8">
        <w:fldChar w:fldCharType="end"/>
      </w:r>
      <w:r w:rsidR="00957E6F" w:rsidRPr="00957E6F">
        <w:t>] was not feasible</w:t>
      </w:r>
      <w:r>
        <w:t xml:space="preserve"> in this setting as it </w:t>
      </w:r>
      <w:r w:rsidR="00957E6F" w:rsidRPr="00957E6F">
        <w:t>requires large volumetric datasets and high-quality 3D annotations</w:t>
      </w:r>
      <w:r>
        <w:t xml:space="preserve">, </w:t>
      </w:r>
      <w:r>
        <w:t>future work will explore such extensions as larger, multi-center datasets and multi-rater annotations become available</w:t>
      </w:r>
      <w:r>
        <w:t xml:space="preserve">. </w:t>
      </w:r>
      <w:r w:rsidR="00957E6F" w:rsidRPr="00957E6F">
        <w:t>We also aim to apply the model’s uncertainty outputs to downstream tasks such as margin status, ablation volume, and residual tumour assessment.</w:t>
      </w:r>
    </w:p>
    <w:p w14:paraId="7E64ADEA" w14:textId="1E6DC5DC" w:rsidR="00F751F0" w:rsidRDefault="00F751F0" w:rsidP="00F751F0">
      <w:pPr>
        <w:pStyle w:val="Heading3"/>
      </w:pPr>
      <w:r>
        <w:rPr>
          <w:rStyle w:val="heading30"/>
        </w:rPr>
        <w:t>Acknowledgments.</w:t>
      </w:r>
      <w:r w:rsidRPr="00F751F0">
        <w:t xml:space="preserve"> The authors are grateful for funding from the Ontario Institute of Cancer Research (OICR) Grant RA#262 and the Canadian Institutes of Health Research (CIHR) – Grant FRN 154314.</w:t>
      </w:r>
    </w:p>
    <w:p w14:paraId="2CC13AB3" w14:textId="38BC3280" w:rsidR="00F751F0" w:rsidRPr="00F751F0" w:rsidRDefault="00F751F0" w:rsidP="00F751F0">
      <w:pPr>
        <w:pStyle w:val="Heading3"/>
        <w:rPr>
          <w:rStyle w:val="heading30"/>
        </w:rPr>
      </w:pPr>
      <w:r>
        <w:rPr>
          <w:rStyle w:val="heading30"/>
        </w:rPr>
        <w:t>Disclosure of Interests.</w:t>
      </w:r>
      <w:r w:rsidRPr="00D17062">
        <w:t xml:space="preserve"> </w:t>
      </w:r>
      <w:r w:rsidR="00D17062" w:rsidRPr="00D17062">
        <w:t>The authors have no competing interests to declare that are relevant to the content of this article.</w:t>
      </w:r>
    </w:p>
    <w:p w14:paraId="6504F60D" w14:textId="77777777" w:rsidR="00DB504B" w:rsidRDefault="00000000" w:rsidP="00606587">
      <w:pPr>
        <w:pStyle w:val="heading1"/>
        <w:numPr>
          <w:ilvl w:val="0"/>
          <w:numId w:val="0"/>
        </w:numPr>
        <w:ind w:left="567" w:hanging="567"/>
      </w:pPr>
      <w:r>
        <w:t>References</w:t>
      </w:r>
    </w:p>
    <w:p w14:paraId="08D87243" w14:textId="11BBEFAA" w:rsidR="00741EFD" w:rsidRDefault="00741EFD" w:rsidP="00606587">
      <w:pPr>
        <w:pStyle w:val="referenceitem"/>
      </w:pPr>
      <w:bookmarkStart w:id="7" w:name="_Ref204164099"/>
      <w:bookmarkStart w:id="8" w:name="_Ref201774843"/>
      <w:r>
        <w:t xml:space="preserve">Baumgartner, C.F., Koch, L.M., Tezcan, M., et al.: </w:t>
      </w:r>
      <w:proofErr w:type="spellStart"/>
      <w:r>
        <w:t>PHISeg</w:t>
      </w:r>
      <w:proofErr w:type="spellEnd"/>
      <w:r>
        <w:t>: Capturing uncertainty in medical image segmentation. In: Medical Image Computing and Computer-Assisted Intervention (MICCAI), pp. 119–127. Springer, Cham (2019)</w:t>
      </w:r>
      <w:bookmarkEnd w:id="7"/>
    </w:p>
    <w:p w14:paraId="21AB0E85" w14:textId="08DB0D6E" w:rsidR="00B56D9B" w:rsidRDefault="00B56D9B" w:rsidP="00606587">
      <w:pPr>
        <w:pStyle w:val="referenceitem"/>
      </w:pPr>
      <w:bookmarkStart w:id="9" w:name="_Ref204163616"/>
      <w:r w:rsidRPr="00B56D9B">
        <w:t xml:space="preserve">Çiçek, Ö., Abdulkadir, A., </w:t>
      </w:r>
      <w:proofErr w:type="spellStart"/>
      <w:r w:rsidRPr="00B56D9B">
        <w:t>Lienkamp</w:t>
      </w:r>
      <w:proofErr w:type="spellEnd"/>
      <w:r w:rsidRPr="00B56D9B">
        <w:t xml:space="preserve">, S.S., Brox, T., </w:t>
      </w:r>
      <w:proofErr w:type="spellStart"/>
      <w:r w:rsidRPr="00B56D9B">
        <w:t>Ronneberger</w:t>
      </w:r>
      <w:proofErr w:type="spellEnd"/>
      <w:r w:rsidRPr="00B56D9B">
        <w:t>, O.: 3D U-Net: Learning dense volumetric segmentation from sparse annotation. In: MICCAI. pp. 424–432 (2016)</w:t>
      </w:r>
      <w:bookmarkEnd w:id="8"/>
      <w:bookmarkEnd w:id="9"/>
    </w:p>
    <w:p w14:paraId="1DC69D45" w14:textId="571057B4" w:rsidR="00741EFD" w:rsidRDefault="00741EFD" w:rsidP="00606587">
      <w:pPr>
        <w:pStyle w:val="referenceitem"/>
      </w:pPr>
      <w:bookmarkStart w:id="10" w:name="_Ref204164118"/>
      <w:r>
        <w:t xml:space="preserve">Chatterjee, S., </w:t>
      </w:r>
      <w:proofErr w:type="spellStart"/>
      <w:r>
        <w:t>Honchar</w:t>
      </w:r>
      <w:proofErr w:type="spellEnd"/>
      <w:r>
        <w:t xml:space="preserve">, A., Seibold, M., et al.: </w:t>
      </w:r>
      <w:proofErr w:type="spellStart"/>
      <w:r>
        <w:t>PULASki</w:t>
      </w:r>
      <w:proofErr w:type="spellEnd"/>
      <w:r>
        <w:t>: Learning inter-rater variability using statistical distances to improve probabilistic segmentation. Med. Image Anal. 85, 103623 (2025).</w:t>
      </w:r>
      <w:bookmarkEnd w:id="10"/>
    </w:p>
    <w:p w14:paraId="4331698E" w14:textId="283CA974" w:rsidR="003871F6" w:rsidRDefault="003871F6" w:rsidP="00606587">
      <w:pPr>
        <w:pStyle w:val="referenceitem"/>
      </w:pPr>
      <w:bookmarkStart w:id="11" w:name="_Ref201774853"/>
      <w:bookmarkStart w:id="12" w:name="_Ref204163928"/>
      <w:r w:rsidRPr="003871F6">
        <w:t>Chen,</w:t>
      </w:r>
      <w:r w:rsidR="00494721" w:rsidRPr="00494721">
        <w:t xml:space="preserve"> </w:t>
      </w:r>
      <w:r w:rsidR="00494721" w:rsidRPr="003871F6">
        <w:t>L.-C.</w:t>
      </w:r>
      <w:r w:rsidR="00494721">
        <w:t>,</w:t>
      </w:r>
      <w:r w:rsidR="00494721" w:rsidRPr="003871F6">
        <w:t xml:space="preserve"> </w:t>
      </w:r>
      <w:r w:rsidRPr="003871F6">
        <w:t xml:space="preserve">Papandreou, </w:t>
      </w:r>
      <w:r w:rsidR="00494721" w:rsidRPr="003871F6">
        <w:t>G.</w:t>
      </w:r>
      <w:r w:rsidR="00494721">
        <w:t xml:space="preserve">, </w:t>
      </w:r>
      <w:r w:rsidRPr="003871F6">
        <w:t xml:space="preserve">Kokkinos, </w:t>
      </w:r>
      <w:r w:rsidR="00494721">
        <w:t xml:space="preserve">I., </w:t>
      </w:r>
      <w:r w:rsidRPr="003871F6">
        <w:t xml:space="preserve">Murphy, </w:t>
      </w:r>
      <w:r w:rsidR="00494721" w:rsidRPr="003871F6">
        <w:t>K.</w:t>
      </w:r>
      <w:r w:rsidR="00494721">
        <w:t>,</w:t>
      </w:r>
      <w:r w:rsidRPr="003871F6">
        <w:t xml:space="preserve"> Yuille,</w:t>
      </w:r>
      <w:r w:rsidR="00494721" w:rsidRPr="00494721">
        <w:t xml:space="preserve"> </w:t>
      </w:r>
      <w:r w:rsidR="00494721" w:rsidRPr="003871F6">
        <w:t>A. L.</w:t>
      </w:r>
      <w:r w:rsidR="00494721">
        <w:t>:</w:t>
      </w:r>
      <w:r w:rsidRPr="003871F6">
        <w:t xml:space="preserve"> </w:t>
      </w:r>
      <w:proofErr w:type="spellStart"/>
      <w:r w:rsidRPr="003871F6">
        <w:t>DeepLab</w:t>
      </w:r>
      <w:proofErr w:type="spellEnd"/>
      <w:r w:rsidRPr="003871F6">
        <w:t xml:space="preserve">: Semantic image segmentation with deep convolutional nets, </w:t>
      </w:r>
      <w:proofErr w:type="spellStart"/>
      <w:r w:rsidRPr="003871F6">
        <w:t>atrous</w:t>
      </w:r>
      <w:proofErr w:type="spellEnd"/>
      <w:r w:rsidRPr="003871F6">
        <w:t xml:space="preserve"> convolution, and fully connected CRFs</w:t>
      </w:r>
      <w:r w:rsidR="00494721">
        <w:t>.</w:t>
      </w:r>
      <w:r w:rsidRPr="003871F6">
        <w:t xml:space="preserve"> </w:t>
      </w:r>
      <w:r w:rsidRPr="00494721">
        <w:t xml:space="preserve">IEEE Trans. Pattern Anal. Mach. </w:t>
      </w:r>
      <w:proofErr w:type="spellStart"/>
      <w:r w:rsidRPr="00494721">
        <w:t>Intel</w:t>
      </w:r>
      <w:r w:rsidR="00494721">
        <w:t>l</w:t>
      </w:r>
      <w:proofErr w:type="spellEnd"/>
      <w:r w:rsidR="00494721">
        <w:t>. 40(</w:t>
      </w:r>
      <w:r w:rsidRPr="003871F6">
        <w:t>4</w:t>
      </w:r>
      <w:r w:rsidR="00494721">
        <w:t>)</w:t>
      </w:r>
      <w:r w:rsidRPr="003871F6">
        <w:t>, 834–848</w:t>
      </w:r>
      <w:r w:rsidR="00494721">
        <w:t xml:space="preserve"> (</w:t>
      </w:r>
      <w:r w:rsidRPr="003871F6">
        <w:t>2017</w:t>
      </w:r>
      <w:bookmarkEnd w:id="11"/>
      <w:r w:rsidR="00494721">
        <w:t>)</w:t>
      </w:r>
      <w:bookmarkEnd w:id="12"/>
    </w:p>
    <w:p w14:paraId="0AB844BD" w14:textId="4D30CC5C" w:rsidR="006D6BC3" w:rsidRDefault="006D6BC3" w:rsidP="00606587">
      <w:pPr>
        <w:pStyle w:val="referenceitem"/>
      </w:pPr>
      <w:bookmarkStart w:id="13" w:name="_Ref201774985"/>
      <w:r w:rsidRPr="006D6BC3">
        <w:t xml:space="preserve">Das, S., Khan, S.S., Sengupta, D., et al.: LeXNet++: Layer-wise </w:t>
      </w:r>
      <w:proofErr w:type="spellStart"/>
      <w:r w:rsidRPr="006D6BC3">
        <w:t>eXplainable</w:t>
      </w:r>
      <w:proofErr w:type="spellEnd"/>
      <w:r w:rsidRPr="006D6BC3">
        <w:t xml:space="preserve"> </w:t>
      </w:r>
      <w:proofErr w:type="spellStart"/>
      <w:r w:rsidRPr="006D6BC3">
        <w:t>ResUNet</w:t>
      </w:r>
      <w:proofErr w:type="spellEnd"/>
      <w:r w:rsidRPr="006D6BC3">
        <w:t xml:space="preserve">++ framework for segmentation of colorectal polyp cancer images. </w:t>
      </w:r>
      <w:r w:rsidRPr="00494721">
        <w:t xml:space="preserve">Neural </w:t>
      </w:r>
      <w:proofErr w:type="spellStart"/>
      <w:r w:rsidRPr="00494721">
        <w:t>Comput</w:t>
      </w:r>
      <w:proofErr w:type="spellEnd"/>
      <w:r w:rsidRPr="00494721">
        <w:t xml:space="preserve">. Appl. </w:t>
      </w:r>
      <w:r w:rsidRPr="006D6BC3">
        <w:t xml:space="preserve">(2024). </w:t>
      </w:r>
      <w:hyperlink r:id="rId15" w:tgtFrame="_new" w:history="1">
        <w:r w:rsidRPr="006D6BC3">
          <w:rPr>
            <w:rStyle w:val="Hyperlink"/>
          </w:rPr>
          <w:t>https://doi.org/10.1007/s00521-024-10441-6</w:t>
        </w:r>
      </w:hyperlink>
      <w:bookmarkEnd w:id="13"/>
    </w:p>
    <w:p w14:paraId="5807B1BA" w14:textId="43C8D5A0" w:rsidR="00DB504B" w:rsidRDefault="006D6BC3" w:rsidP="00606587">
      <w:pPr>
        <w:pStyle w:val="referenceitem"/>
      </w:pPr>
      <w:bookmarkStart w:id="14" w:name="_Ref201774926"/>
      <w:proofErr w:type="spellStart"/>
      <w:r w:rsidRPr="006D6BC3">
        <w:t>Escudier</w:t>
      </w:r>
      <w:proofErr w:type="spellEnd"/>
      <w:r w:rsidRPr="006D6BC3">
        <w:t xml:space="preserve">, B., Porta, C., </w:t>
      </w:r>
      <w:proofErr w:type="spellStart"/>
      <w:r w:rsidRPr="006D6BC3">
        <w:t>Schmidinger</w:t>
      </w:r>
      <w:proofErr w:type="spellEnd"/>
      <w:r w:rsidRPr="006D6BC3">
        <w:t>, M., et al.: Renal cell carcinoma: ESMO Clinical Practice Guidelines for diagnosis, treatment and follow-up. Ann. Oncol. 30(5), 706–720 (2019)</w:t>
      </w:r>
      <w:bookmarkEnd w:id="14"/>
    </w:p>
    <w:p w14:paraId="20B4E32F" w14:textId="5AA387BC" w:rsidR="00741EFD" w:rsidRDefault="00741EFD" w:rsidP="00606587">
      <w:pPr>
        <w:pStyle w:val="referenceitem"/>
      </w:pPr>
      <w:bookmarkStart w:id="15" w:name="_Ref204164172"/>
      <w:r>
        <w:lastRenderedPageBreak/>
        <w:t>Fuchs, M., Gonzalez, C., Mukhopadhyay, A.: Practical uncertainty quantification for brain tumor segmentation. In: Medical Imaging with Deep Learning (MIDL) (2021)</w:t>
      </w:r>
      <w:bookmarkEnd w:id="15"/>
    </w:p>
    <w:p w14:paraId="081FB754" w14:textId="47A4B08F" w:rsidR="006D6BC3" w:rsidRDefault="006D6BC3" w:rsidP="00606587">
      <w:pPr>
        <w:pStyle w:val="referenceitem"/>
      </w:pPr>
      <w:bookmarkStart w:id="16" w:name="_Ref201774937"/>
      <w:r w:rsidRPr="006D6BC3">
        <w:t xml:space="preserve">Gal, Y., Ghahramani, Z.: Dropout as a </w:t>
      </w:r>
      <w:proofErr w:type="spellStart"/>
      <w:r w:rsidRPr="006D6BC3">
        <w:t>bayesian</w:t>
      </w:r>
      <w:proofErr w:type="spellEnd"/>
      <w:r w:rsidRPr="006D6BC3">
        <w:t xml:space="preserve"> approximation: representing model uncertainty in deep learning. In: ICML, pp. 1050–1059 (2016)</w:t>
      </w:r>
      <w:bookmarkEnd w:id="16"/>
    </w:p>
    <w:p w14:paraId="5B5F0A16" w14:textId="0B924630" w:rsidR="00EA4C25" w:rsidRDefault="00494721" w:rsidP="00606587">
      <w:pPr>
        <w:pStyle w:val="referenceitem"/>
      </w:pPr>
      <w:bookmarkStart w:id="17" w:name="_Ref204163845"/>
      <w:r>
        <w:t xml:space="preserve">He, K., Zhang, X., Ren, S., Sun, J.: Deep residual learning for image recognition. In: IEEE Conf. </w:t>
      </w:r>
      <w:proofErr w:type="spellStart"/>
      <w:r>
        <w:t>Comput</w:t>
      </w:r>
      <w:proofErr w:type="spellEnd"/>
      <w:r>
        <w:t xml:space="preserve">. Vis. Pattern </w:t>
      </w:r>
      <w:proofErr w:type="spellStart"/>
      <w:r>
        <w:t>Recognit</w:t>
      </w:r>
      <w:proofErr w:type="spellEnd"/>
      <w:r>
        <w:t>. (CVPR), pp. 770–778 (2016)</w:t>
      </w:r>
      <w:bookmarkEnd w:id="17"/>
    </w:p>
    <w:p w14:paraId="5D03D5B7" w14:textId="77777777" w:rsidR="00494721" w:rsidRDefault="00494721" w:rsidP="00606587">
      <w:pPr>
        <w:pStyle w:val="referenceitem"/>
      </w:pPr>
      <w:bookmarkStart w:id="18" w:name="_Ref204163880"/>
      <w:r>
        <w:t xml:space="preserve">Hu, J., Shen, L., Sun, G.: Squeeze-and-excitation networks. In: IEEE Conf. </w:t>
      </w:r>
      <w:proofErr w:type="spellStart"/>
      <w:r>
        <w:t>Comput</w:t>
      </w:r>
      <w:proofErr w:type="spellEnd"/>
      <w:r>
        <w:t xml:space="preserve">. Vis. Pattern </w:t>
      </w:r>
      <w:proofErr w:type="spellStart"/>
      <w:r>
        <w:t>Recognit</w:t>
      </w:r>
      <w:proofErr w:type="spellEnd"/>
      <w:r>
        <w:t>. (CVPR), pp. 7132–7141 (2018)</w:t>
      </w:r>
      <w:bookmarkEnd w:id="18"/>
    </w:p>
    <w:p w14:paraId="1E7C5661" w14:textId="0AC58BE5" w:rsidR="00957E6F" w:rsidRDefault="00957E6F" w:rsidP="00606587">
      <w:pPr>
        <w:pStyle w:val="referenceitem"/>
      </w:pPr>
      <w:bookmarkStart w:id="19" w:name="_Ref204768894"/>
      <w:r w:rsidRPr="00957E6F">
        <w:t>Isensee, F., Jaeger, P.F., Kohl, S.A.A.</w:t>
      </w:r>
      <w:r>
        <w:t xml:space="preserve">, et al.: </w:t>
      </w:r>
      <w:r w:rsidRPr="00957E6F">
        <w:t>nnU-Net: a self-configuring method for deep learning-based biomedical image segmentation.</w:t>
      </w:r>
      <w:r>
        <w:t xml:space="preserve"> </w:t>
      </w:r>
      <w:r w:rsidRPr="00957E6F">
        <w:t>Nat Methods 18, 203–211 (2021)</w:t>
      </w:r>
      <w:bookmarkEnd w:id="19"/>
    </w:p>
    <w:p w14:paraId="320F08FB" w14:textId="178178CC" w:rsidR="00741EFD" w:rsidRDefault="00741EFD" w:rsidP="00606587">
      <w:pPr>
        <w:pStyle w:val="referenceitem"/>
      </w:pPr>
      <w:bookmarkStart w:id="20" w:name="_Ref204164155"/>
      <w:r w:rsidRPr="00741EFD">
        <w:t>Kendall, A., Gal, Y.: What uncertainties do we need in Bayesian deep learning for computer vision? In: Advances in Neural Information Processing Systems (</w:t>
      </w:r>
      <w:proofErr w:type="spellStart"/>
      <w:r w:rsidRPr="00741EFD">
        <w:t>NeurIPS</w:t>
      </w:r>
      <w:proofErr w:type="spellEnd"/>
      <w:r w:rsidRPr="00741EFD">
        <w:t>), vol. 20 (2017)</w:t>
      </w:r>
      <w:bookmarkEnd w:id="20"/>
    </w:p>
    <w:p w14:paraId="1174C1B7" w14:textId="5E46202A" w:rsidR="00741EFD" w:rsidRDefault="00741EFD" w:rsidP="00606587">
      <w:pPr>
        <w:pStyle w:val="referenceitem"/>
      </w:pPr>
      <w:bookmarkStart w:id="21" w:name="_Ref204164078"/>
      <w:r w:rsidRPr="00741EFD">
        <w:t>Kohl, S., Romera-Paredes, B., Meyer, C., et al.: A probabilistic U-Net for segmentation of ambiguous images. In: Advances in Neural Information Processing Systems (</w:t>
      </w:r>
      <w:proofErr w:type="spellStart"/>
      <w:r w:rsidRPr="00741EFD">
        <w:t>NeurIPS</w:t>
      </w:r>
      <w:proofErr w:type="spellEnd"/>
      <w:r w:rsidRPr="00741EFD">
        <w:t>), vol. 31 (2018)</w:t>
      </w:r>
      <w:bookmarkEnd w:id="21"/>
    </w:p>
    <w:p w14:paraId="3F2DBA28" w14:textId="4C2DF1B5" w:rsidR="00EA11CE" w:rsidRDefault="00EA11CE" w:rsidP="00606587">
      <w:pPr>
        <w:pStyle w:val="referenceitem"/>
      </w:pPr>
      <w:bookmarkStart w:id="22" w:name="_Ref204771829"/>
      <w:proofErr w:type="spellStart"/>
      <w:r>
        <w:t>Lekadir</w:t>
      </w:r>
      <w:proofErr w:type="spellEnd"/>
      <w:r>
        <w:t xml:space="preserve">, K., </w:t>
      </w:r>
      <w:proofErr w:type="spellStart"/>
      <w:r>
        <w:t>Frangi</w:t>
      </w:r>
      <w:proofErr w:type="spellEnd"/>
      <w:r>
        <w:t xml:space="preserve">, A.F., Porras, A.R., Glocker, B., Cintas, C., Langlotz, C.P., et al.: </w:t>
      </w:r>
      <w:r w:rsidRPr="00EA11CE">
        <w:t>FUTURE-AI: international consensus guideline for trustworthy and deployable artificial intelligence in healthcar</w:t>
      </w:r>
      <w:r>
        <w:t xml:space="preserve">e. BMJ </w:t>
      </w:r>
      <w:r w:rsidR="00070DDE">
        <w:t>388:e081554 (2025)</w:t>
      </w:r>
      <w:bookmarkEnd w:id="22"/>
      <w:r>
        <w:t xml:space="preserve"> </w:t>
      </w:r>
    </w:p>
    <w:p w14:paraId="24146F93" w14:textId="4D6C1661" w:rsidR="00741EFD" w:rsidRDefault="00741EFD" w:rsidP="00606587">
      <w:pPr>
        <w:pStyle w:val="referenceitem"/>
      </w:pPr>
      <w:bookmarkStart w:id="23" w:name="_Ref204164187"/>
      <w:r>
        <w:t>Mehta, R., Paunovic, V., Arbel, T.: Propagating uncertainty across cascaded medical imaging tasks for improved deep learning inference. IEEE Trans. Med. Imaging 41(11), 3090–3102 (2022)</w:t>
      </w:r>
      <w:bookmarkEnd w:id="23"/>
    </w:p>
    <w:p w14:paraId="1E93078F" w14:textId="77777777" w:rsidR="00494721" w:rsidRDefault="00494721" w:rsidP="00606587">
      <w:pPr>
        <w:pStyle w:val="referenceitem"/>
      </w:pPr>
      <w:bookmarkStart w:id="24" w:name="_Ref204163970"/>
      <w:bookmarkStart w:id="25" w:name="_Ref201774876"/>
      <w:r>
        <w:t>Mehta, R.: Integrating Bayesian deep learning uncertainties in medical image analysis. Ph.D. thesis, Dept. of Electrical &amp; Computer Engineering, McGill University (2023)</w:t>
      </w:r>
      <w:bookmarkEnd w:id="24"/>
    </w:p>
    <w:p w14:paraId="53DD3A4B" w14:textId="77777777" w:rsidR="00494721" w:rsidRDefault="00494721" w:rsidP="00606587">
      <w:pPr>
        <w:pStyle w:val="referenceitem"/>
      </w:pPr>
      <w:bookmarkStart w:id="26" w:name="_Ref204163666"/>
      <w:bookmarkStart w:id="27" w:name="_Ref201774884"/>
      <w:bookmarkEnd w:id="25"/>
      <w:r>
        <w:t xml:space="preserve">Meine, H., Chlebus, G., </w:t>
      </w:r>
      <w:proofErr w:type="spellStart"/>
      <w:r>
        <w:t>Ghafoorian</w:t>
      </w:r>
      <w:proofErr w:type="spellEnd"/>
      <w:r>
        <w:t xml:space="preserve">, M., Endo, I., Schenk, A.: Comparison of U-net based convolutional neural networks for liver segmentation in CT. J. </w:t>
      </w:r>
      <w:proofErr w:type="spellStart"/>
      <w:r>
        <w:t>Intell</w:t>
      </w:r>
      <w:proofErr w:type="spellEnd"/>
      <w:r>
        <w:t>. Fuzzy Syst. 83, 71833–71862 (2024)</w:t>
      </w:r>
      <w:bookmarkEnd w:id="26"/>
    </w:p>
    <w:p w14:paraId="1EA9DD4E" w14:textId="77777777" w:rsidR="00494721" w:rsidRDefault="00494721" w:rsidP="00606587">
      <w:pPr>
        <w:pStyle w:val="referenceitem"/>
      </w:pPr>
      <w:bookmarkStart w:id="28" w:name="_Ref204163694"/>
      <w:bookmarkEnd w:id="27"/>
      <w:r>
        <w:t>Menze, B.H., Jakab, A., Bauer, S., Kalpathy-Cramer, J., Farahani, K., Kirby, J., et al.: The Multimodal Brain Tumor Image Segmentation Benchmark (BRATS). IEEE Trans. Med. Imaging 34(10), 1993–2024 (2015)</w:t>
      </w:r>
      <w:bookmarkEnd w:id="28"/>
    </w:p>
    <w:p w14:paraId="26D60CF1" w14:textId="234B668C" w:rsidR="00741EFD" w:rsidRDefault="00741EFD" w:rsidP="00606587">
      <w:pPr>
        <w:pStyle w:val="referenceitem"/>
      </w:pPr>
      <w:bookmarkStart w:id="29" w:name="_Ref204164137"/>
      <w:r>
        <w:t xml:space="preserve">Monteiro, M., </w:t>
      </w:r>
      <w:proofErr w:type="spellStart"/>
      <w:r>
        <w:t>Allken</w:t>
      </w:r>
      <w:proofErr w:type="spellEnd"/>
      <w:r>
        <w:t>, V., Wang, B., Jacob, M.W.: Stochastic segmentation networks: Modelling spatially correlated aleatoric uncertainty. In: Advances in Neural Information Processing Systems (</w:t>
      </w:r>
      <w:proofErr w:type="spellStart"/>
      <w:r>
        <w:t>NeurIPS</w:t>
      </w:r>
      <w:proofErr w:type="spellEnd"/>
      <w:r>
        <w:t>), vol. 33, pp. 12756–12767 (2020)</w:t>
      </w:r>
      <w:bookmarkEnd w:id="29"/>
    </w:p>
    <w:p w14:paraId="794CE4B6" w14:textId="2CAD8EE7" w:rsidR="00741EFD" w:rsidRDefault="00741EFD" w:rsidP="00606587">
      <w:pPr>
        <w:pStyle w:val="referenceitem"/>
      </w:pPr>
      <w:bookmarkStart w:id="30" w:name="_Ref204164204"/>
      <w:r>
        <w:t>Nair, T., Chen, L., Yang, C., Precup, D.: Exploring uncertainty measures in deep networks for multiple sclerosis lesion detection and segmentation. Med. Image Anal. 59, 101557 (2020)</w:t>
      </w:r>
      <w:bookmarkEnd w:id="30"/>
    </w:p>
    <w:p w14:paraId="083B930C" w14:textId="2CE34D66" w:rsidR="00494721" w:rsidRDefault="00494721" w:rsidP="00606587">
      <w:pPr>
        <w:pStyle w:val="referenceitem"/>
      </w:pPr>
      <w:bookmarkStart w:id="31" w:name="_Ref204163868"/>
      <w:bookmarkStart w:id="32" w:name="_Ref201775014"/>
      <w:r>
        <w:t xml:space="preserve">Oktay, O., </w:t>
      </w:r>
      <w:proofErr w:type="spellStart"/>
      <w:r>
        <w:t>Schlemper</w:t>
      </w:r>
      <w:proofErr w:type="spellEnd"/>
      <w:r>
        <w:t xml:space="preserve">, J., Le </w:t>
      </w:r>
      <w:proofErr w:type="spellStart"/>
      <w:r>
        <w:t>Folgoc</w:t>
      </w:r>
      <w:proofErr w:type="spellEnd"/>
      <w:r>
        <w:t xml:space="preserve">, L., et al.: Attention U-Net: Learning where to look for the pancreas. </w:t>
      </w:r>
      <w:proofErr w:type="spellStart"/>
      <w:r>
        <w:t>arXiv</w:t>
      </w:r>
      <w:proofErr w:type="spellEnd"/>
      <w:r>
        <w:t xml:space="preserve"> preprint arXiv:1804.03999 (2018). </w:t>
      </w:r>
      <w:hyperlink r:id="rId16" w:tgtFrame="_new" w:history="1">
        <w:r>
          <w:rPr>
            <w:rStyle w:val="Hyperlink"/>
          </w:rPr>
          <w:t>https://arxiv.org/abs/1804.03999</w:t>
        </w:r>
      </w:hyperlink>
      <w:bookmarkEnd w:id="31"/>
    </w:p>
    <w:p w14:paraId="0479A2E1" w14:textId="77777777" w:rsidR="00494721" w:rsidRDefault="00494721" w:rsidP="00606587">
      <w:pPr>
        <w:pStyle w:val="referenceitem"/>
      </w:pPr>
      <w:bookmarkStart w:id="33" w:name="_Ref204163906"/>
      <w:bookmarkStart w:id="34" w:name="_Ref201774973"/>
      <w:bookmarkEnd w:id="32"/>
      <w:r>
        <w:t>Rastegarpoor, M., Cool, D.W., Fenster, A.: Segmentation of kidney ablation zone using deep learning in CT images. In: Proc. SPIE, vol. 13406, San Diego, USA (2025)</w:t>
      </w:r>
      <w:bookmarkEnd w:id="33"/>
    </w:p>
    <w:p w14:paraId="53DA3308" w14:textId="202D5B16" w:rsidR="001F40FA" w:rsidRPr="001F40FA" w:rsidRDefault="001F40FA" w:rsidP="00EA4C25">
      <w:pPr>
        <w:pStyle w:val="referenceitem"/>
        <w:rPr>
          <w:lang w:val="en-CA"/>
        </w:rPr>
      </w:pPr>
      <w:bookmarkStart w:id="35" w:name="_Ref204163802"/>
      <w:bookmarkEnd w:id="34"/>
      <w:proofErr w:type="spellStart"/>
      <w:r>
        <w:t>Ronneberger</w:t>
      </w:r>
      <w:proofErr w:type="spellEnd"/>
      <w:r>
        <w:t>, O., Fischer, P., Brox, T.: U-Net: Convolutional Networks for Biomedical Image Segmentation. In: MICCAI, pp. 234–241. Springer, Cham (2015)</w:t>
      </w:r>
      <w:bookmarkEnd w:id="35"/>
    </w:p>
    <w:p w14:paraId="7CF786EB" w14:textId="5897D52E" w:rsidR="001F40FA" w:rsidRPr="001F40FA" w:rsidRDefault="001F40FA" w:rsidP="00EA4C25">
      <w:pPr>
        <w:pStyle w:val="referenceitem"/>
        <w:rPr>
          <w:lang w:val="en-CA"/>
        </w:rPr>
      </w:pPr>
      <w:bookmarkStart w:id="36" w:name="_Ref204163946"/>
      <w:r>
        <w:t xml:space="preserve">Selvaraju, R.R., Cogswell, M., Das, A., </w:t>
      </w:r>
      <w:proofErr w:type="spellStart"/>
      <w:r>
        <w:t>Vedantam</w:t>
      </w:r>
      <w:proofErr w:type="spellEnd"/>
      <w:r>
        <w:t xml:space="preserve">, R., Parikh, D., Batra, D.: Grad-CAM: Visual explanations from deep networks via gradient-based localization. Int. J. </w:t>
      </w:r>
      <w:proofErr w:type="spellStart"/>
      <w:r>
        <w:t>Comput</w:t>
      </w:r>
      <w:proofErr w:type="spellEnd"/>
      <w:r>
        <w:t>. Vis. 128(2), 336–359 (2019)</w:t>
      </w:r>
      <w:bookmarkEnd w:id="36"/>
    </w:p>
    <w:p w14:paraId="6FC3AEB6" w14:textId="684D6A65" w:rsidR="00741EFD" w:rsidRPr="00741EFD" w:rsidRDefault="00741EFD" w:rsidP="00EA4C25">
      <w:pPr>
        <w:pStyle w:val="referenceitem"/>
        <w:rPr>
          <w:lang w:val="en-CA"/>
        </w:rPr>
      </w:pPr>
      <w:bookmarkStart w:id="37" w:name="_Ref204164215"/>
      <w:r>
        <w:t>Salahuddin, Z., Zhang, T., Wang, Y., Salama, M.S.: Leveraging uncertainty estimation for segmentation of kidney, kidney tumor and kidney cysts. In: International Challenge on Kidney and Kidney Tumor Segmentation, pp. 40–46. Springer, Cham (2023)</w:t>
      </w:r>
      <w:bookmarkEnd w:id="37"/>
    </w:p>
    <w:p w14:paraId="6834CA24" w14:textId="4695BA6B" w:rsidR="00741EFD" w:rsidRPr="00741EFD" w:rsidRDefault="00741EFD" w:rsidP="00741EFD">
      <w:pPr>
        <w:pStyle w:val="referenceitem"/>
        <w:rPr>
          <w:lang w:val="en-CA"/>
        </w:rPr>
      </w:pPr>
      <w:bookmarkStart w:id="38" w:name="_Ref204164232"/>
      <w:proofErr w:type="spellStart"/>
      <w:r w:rsidRPr="00741EFD">
        <w:t>Sudre</w:t>
      </w:r>
      <w:proofErr w:type="spellEnd"/>
      <w:r w:rsidRPr="00741EFD">
        <w:t>, C.H., Dalca, A., Baumgartner, C.F.: Uncertainty for safe utilization of machine learning in medical imaging. In: MICCAI UNSURE Workshop (2022)</w:t>
      </w:r>
      <w:bookmarkEnd w:id="38"/>
    </w:p>
    <w:sectPr w:rsidR="00741EFD" w:rsidRPr="00741EFD" w:rsidSect="009F7FCE">
      <w:headerReference w:type="even" r:id="rId17"/>
      <w:headerReference w:type="default" r:id="rId18"/>
      <w:pgSz w:w="11906" w:h="16838" w:code="9"/>
      <w:pgMar w:top="2948" w:right="2494" w:bottom="2948" w:left="2494" w:header="2381" w:footer="2324" w:gutter="0"/>
      <w:cols w:space="227"/>
      <w:titlePg/>
      <w:docGrid w:linePitch="24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0E26A4" w14:textId="77777777" w:rsidR="00DF633C" w:rsidRDefault="00DF633C">
      <w:pPr>
        <w:spacing w:line="240" w:lineRule="auto"/>
      </w:pPr>
      <w:r>
        <w:separator/>
      </w:r>
    </w:p>
  </w:endnote>
  <w:endnote w:type="continuationSeparator" w:id="0">
    <w:p w14:paraId="2A0452EA" w14:textId="77777777" w:rsidR="00DF633C" w:rsidRDefault="00DF633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w:panose1 w:val="02070309020205020404"/>
    <w:charset w:val="00"/>
    <w:family w:val="modern"/>
    <w:pitch w:val="fixed"/>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ACF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06EEB38" w14:textId="77777777" w:rsidR="00DF633C" w:rsidRDefault="00DF633C" w:rsidP="009F7FCE">
      <w:pPr>
        <w:ind w:firstLine="0"/>
      </w:pPr>
      <w:r>
        <w:separator/>
      </w:r>
    </w:p>
  </w:footnote>
  <w:footnote w:type="continuationSeparator" w:id="0">
    <w:p w14:paraId="5436B80E" w14:textId="77777777" w:rsidR="00DF633C" w:rsidRDefault="00DF633C" w:rsidP="009F7FCE">
      <w:pPr>
        <w:ind w:firstLine="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F7C997" w14:textId="1AF9520A" w:rsidR="00DB504B" w:rsidRDefault="00000000" w:rsidP="00090B89">
    <w:pPr>
      <w:pStyle w:val="runningheadleft"/>
    </w:pPr>
    <w:r>
      <w:fldChar w:fldCharType="begin"/>
    </w:r>
    <w:r>
      <w:instrText>PAGE   \* MERGEFORMAT</w:instrText>
    </w:r>
    <w:r>
      <w:fldChar w:fldCharType="separate"/>
    </w:r>
    <w:r w:rsidRPr="00B23481">
      <w:rPr>
        <w:noProof/>
      </w:rPr>
      <w:t>2</w:t>
    </w:r>
    <w:r>
      <w:fldChar w:fldCharType="end"/>
    </w:r>
    <w:r>
      <w:t xml:space="preserve"> </w:t>
    </w:r>
    <w:r>
      <w:tab/>
    </w:r>
    <w:r w:rsidR="007B5031">
      <w:rPr>
        <w:lang w:val="en-CA"/>
      </w:rPr>
      <w:t xml:space="preserve">O. Arbel-Wood </w:t>
    </w:r>
    <w:r w:rsidR="00674502" w:rsidRPr="00674502">
      <w:rPr>
        <w:lang w:val="en-CA"/>
      </w:rPr>
      <w:t>et al.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68442A" w14:textId="4C46F03C" w:rsidR="00DB504B" w:rsidRPr="00090B89" w:rsidRDefault="00000000" w:rsidP="00090B89">
    <w:pPr>
      <w:pStyle w:val="runningheadright"/>
    </w:pPr>
    <w:r>
      <w:tab/>
    </w:r>
    <w:r w:rsidR="007B5031">
      <w:t>XBoundNet++: Uncertainty-Aware Segmentation of the KAZ</w:t>
    </w:r>
    <w:r>
      <w:tab/>
    </w:r>
    <w:r>
      <w:fldChar w:fldCharType="begin"/>
    </w:r>
    <w:r>
      <w:instrText>PAGE   \* MERGEFORMAT</w:instrText>
    </w:r>
    <w:r>
      <w:fldChar w:fldCharType="separate"/>
    </w:r>
    <w:r>
      <w:t>2</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F397F84"/>
    <w:multiLevelType w:val="multilevel"/>
    <w:tmpl w:val="9EC0C614"/>
    <w:styleLink w:val="itemization1"/>
    <w:lvl w:ilvl="0">
      <w:start w:val="1"/>
      <w:numFmt w:val="bullet"/>
      <w:pStyle w:val="bulletitem"/>
      <w:lvlText w:val=""/>
      <w:lvlJc w:val="left"/>
      <w:pPr>
        <w:tabs>
          <w:tab w:val="num" w:pos="454"/>
        </w:tabs>
        <w:ind w:left="454" w:hanging="227"/>
      </w:pPr>
      <w:rPr>
        <w:rFonts w:ascii="Symbol" w:hAnsi="Symbol" w:hint="default"/>
      </w:rPr>
    </w:lvl>
    <w:lvl w:ilvl="1">
      <w:start w:val="1"/>
      <w:numFmt w:val="bullet"/>
      <w:lvlText w:val="─"/>
      <w:lvlJc w:val="left"/>
      <w:pPr>
        <w:tabs>
          <w:tab w:val="num" w:pos="681"/>
        </w:tabs>
        <w:ind w:left="681" w:hanging="227"/>
      </w:pPr>
      <w:rPr>
        <w:rFonts w:ascii="Times New Roman" w:hAnsi="Times New Roman" w:cs="Times New Roman" w:hint="default"/>
      </w:rPr>
    </w:lvl>
    <w:lvl w:ilvl="2">
      <w:start w:val="1"/>
      <w:numFmt w:val="bullet"/>
      <w:lvlText w:val="o"/>
      <w:lvlJc w:val="left"/>
      <w:pPr>
        <w:tabs>
          <w:tab w:val="num" w:pos="907"/>
        </w:tabs>
        <w:ind w:left="907" w:hanging="226"/>
      </w:pPr>
      <w:rPr>
        <w:rFonts w:ascii="Courier New" w:hAnsi="Courier New" w:hint="default"/>
      </w:rPr>
    </w:lvl>
    <w:lvl w:ilvl="3">
      <w:start w:val="1"/>
      <w:numFmt w:val="bullet"/>
      <w:lvlText w:val=""/>
      <w:lvlJc w:val="left"/>
      <w:pPr>
        <w:tabs>
          <w:tab w:val="num" w:pos="1134"/>
        </w:tabs>
        <w:ind w:left="1134" w:hanging="227"/>
      </w:pPr>
      <w:rPr>
        <w:rFonts w:ascii="Wingdings" w:hAnsi="Wingdings" w:hint="default"/>
      </w:rPr>
    </w:lvl>
    <w:lvl w:ilvl="4">
      <w:start w:val="1"/>
      <w:numFmt w:val="bullet"/>
      <w:lvlText w:val="o"/>
      <w:lvlJc w:val="left"/>
      <w:pPr>
        <w:tabs>
          <w:tab w:val="num" w:pos="1361"/>
        </w:tabs>
        <w:ind w:left="1361" w:hanging="227"/>
      </w:pPr>
      <w:rPr>
        <w:rFonts w:ascii="Courier New" w:hAnsi="Courier New" w:hint="default"/>
      </w:rPr>
    </w:lvl>
    <w:lvl w:ilvl="5">
      <w:start w:val="1"/>
      <w:numFmt w:val="bullet"/>
      <w:lvlText w:val=""/>
      <w:lvlJc w:val="left"/>
      <w:pPr>
        <w:tabs>
          <w:tab w:val="num" w:pos="1588"/>
        </w:tabs>
        <w:ind w:left="1588" w:hanging="227"/>
      </w:pPr>
      <w:rPr>
        <w:rFonts w:ascii="Wingdings" w:hAnsi="Wingdings" w:hint="default"/>
      </w:rPr>
    </w:lvl>
    <w:lvl w:ilvl="6">
      <w:start w:val="1"/>
      <w:numFmt w:val="bullet"/>
      <w:lvlText w:val=""/>
      <w:lvlJc w:val="left"/>
      <w:pPr>
        <w:tabs>
          <w:tab w:val="num" w:pos="1815"/>
        </w:tabs>
        <w:ind w:left="1815" w:hanging="227"/>
      </w:pPr>
      <w:rPr>
        <w:rFonts w:ascii="Symbol" w:hAnsi="Symbol" w:hint="default"/>
      </w:rPr>
    </w:lvl>
    <w:lvl w:ilvl="7">
      <w:start w:val="1"/>
      <w:numFmt w:val="bullet"/>
      <w:lvlText w:val="o"/>
      <w:lvlJc w:val="left"/>
      <w:pPr>
        <w:tabs>
          <w:tab w:val="num" w:pos="2041"/>
        </w:tabs>
        <w:ind w:left="2041" w:hanging="226"/>
      </w:pPr>
      <w:rPr>
        <w:rFonts w:ascii="Courier New" w:hAnsi="Courier New" w:hint="default"/>
      </w:rPr>
    </w:lvl>
    <w:lvl w:ilvl="8">
      <w:start w:val="1"/>
      <w:numFmt w:val="bullet"/>
      <w:lvlText w:val=""/>
      <w:lvlJc w:val="left"/>
      <w:pPr>
        <w:tabs>
          <w:tab w:val="num" w:pos="2268"/>
        </w:tabs>
        <w:ind w:left="2268" w:hanging="227"/>
      </w:pPr>
      <w:rPr>
        <w:rFonts w:ascii="Wingdings" w:hAnsi="Wingdings" w:hint="default"/>
      </w:rPr>
    </w:lvl>
  </w:abstractNum>
  <w:abstractNum w:abstractNumId="1" w15:restartNumberingAfterBreak="0">
    <w:nsid w:val="6F404C9F"/>
    <w:multiLevelType w:val="multilevel"/>
    <w:tmpl w:val="E07472EC"/>
    <w:styleLink w:val="itemization2"/>
    <w:lvl w:ilvl="0">
      <w:start w:val="1"/>
      <w:numFmt w:val="bullet"/>
      <w:pStyle w:val="dashitem"/>
      <w:lvlText w:val="─"/>
      <w:lvlJc w:val="left"/>
      <w:pPr>
        <w:tabs>
          <w:tab w:val="num" w:pos="227"/>
        </w:tabs>
        <w:ind w:left="227" w:hanging="227"/>
      </w:pPr>
      <w:rPr>
        <w:rFonts w:ascii="Times New Roman" w:hAnsi="Times New Roman" w:cs="Times New Roman" w:hint="default"/>
      </w:rPr>
    </w:lvl>
    <w:lvl w:ilvl="1">
      <w:start w:val="1"/>
      <w:numFmt w:val="bullet"/>
      <w:lvlText w:val=""/>
      <w:lvlJc w:val="left"/>
      <w:pPr>
        <w:tabs>
          <w:tab w:val="num" w:pos="454"/>
        </w:tabs>
        <w:ind w:left="454" w:hanging="227"/>
      </w:pPr>
      <w:rPr>
        <w:rFonts w:ascii="Symbol" w:hAnsi="Symbol" w:hint="default"/>
      </w:rPr>
    </w:lvl>
    <w:lvl w:ilvl="2">
      <w:start w:val="1"/>
      <w:numFmt w:val="bullet"/>
      <w:lvlText w:val="○"/>
      <w:lvlJc w:val="left"/>
      <w:pPr>
        <w:tabs>
          <w:tab w:val="num" w:pos="680"/>
        </w:tabs>
        <w:ind w:left="680" w:hanging="226"/>
      </w:pPr>
      <w:rPr>
        <w:rFonts w:ascii="Times New Roman" w:hAnsi="Times New Roman" w:cs="Times New Roman" w:hint="default"/>
      </w:rPr>
    </w:lvl>
    <w:lvl w:ilvl="3">
      <w:start w:val="1"/>
      <w:numFmt w:val="bullet"/>
      <w:lvlText w:val="■"/>
      <w:lvlJc w:val="left"/>
      <w:pPr>
        <w:tabs>
          <w:tab w:val="num" w:pos="907"/>
        </w:tabs>
        <w:ind w:left="907" w:hanging="227"/>
      </w:pPr>
      <w:rPr>
        <w:rFonts w:ascii="Times New Roman" w:hAnsi="Times New Roman" w:cs="Times New Roman" w:hint="default"/>
      </w:rPr>
    </w:lvl>
    <w:lvl w:ilvl="4">
      <w:start w:val="1"/>
      <w:numFmt w:val="bullet"/>
      <w:lvlText w:val="○"/>
      <w:lvlJc w:val="left"/>
      <w:pPr>
        <w:tabs>
          <w:tab w:val="num" w:pos="1134"/>
        </w:tabs>
        <w:ind w:left="1134" w:hanging="227"/>
      </w:pPr>
      <w:rPr>
        <w:rFonts w:ascii="Times New Roman" w:hAnsi="Times New Roman" w:cs="Times New Roman" w:hint="default"/>
      </w:rPr>
    </w:lvl>
    <w:lvl w:ilvl="5">
      <w:start w:val="1"/>
      <w:numFmt w:val="bullet"/>
      <w:lvlText w:val="■"/>
      <w:lvlJc w:val="left"/>
      <w:pPr>
        <w:tabs>
          <w:tab w:val="num" w:pos="1361"/>
        </w:tabs>
        <w:ind w:left="1361" w:hanging="227"/>
      </w:pPr>
      <w:rPr>
        <w:rFonts w:ascii="Times New Roman" w:hAnsi="Times New Roman" w:cs="Times New Roman" w:hint="default"/>
      </w:rPr>
    </w:lvl>
    <w:lvl w:ilvl="6">
      <w:start w:val="1"/>
      <w:numFmt w:val="bullet"/>
      <w:lvlText w:val=""/>
      <w:lvlJc w:val="left"/>
      <w:pPr>
        <w:tabs>
          <w:tab w:val="num" w:pos="1588"/>
        </w:tabs>
        <w:ind w:left="1588" w:hanging="227"/>
      </w:pPr>
      <w:rPr>
        <w:rFonts w:ascii="Symbol" w:hAnsi="Symbol" w:hint="default"/>
      </w:rPr>
    </w:lvl>
    <w:lvl w:ilvl="7">
      <w:start w:val="1"/>
      <w:numFmt w:val="bullet"/>
      <w:lvlText w:val="○"/>
      <w:lvlJc w:val="left"/>
      <w:pPr>
        <w:tabs>
          <w:tab w:val="num" w:pos="1814"/>
        </w:tabs>
        <w:ind w:left="1814" w:hanging="226"/>
      </w:pPr>
      <w:rPr>
        <w:rFonts w:ascii="Times New Roman" w:hAnsi="Times New Roman" w:cs="Times New Roman" w:hint="default"/>
      </w:rPr>
    </w:lvl>
    <w:lvl w:ilvl="8">
      <w:start w:val="1"/>
      <w:numFmt w:val="bullet"/>
      <w:lvlText w:val="■"/>
      <w:lvlJc w:val="left"/>
      <w:pPr>
        <w:tabs>
          <w:tab w:val="num" w:pos="2041"/>
        </w:tabs>
        <w:ind w:left="2041" w:hanging="227"/>
      </w:pPr>
      <w:rPr>
        <w:rFonts w:ascii="Times New Roman" w:hAnsi="Times New Roman" w:cs="Times New Roman" w:hint="default"/>
      </w:rPr>
    </w:lvl>
  </w:abstractNum>
  <w:abstractNum w:abstractNumId="2" w15:restartNumberingAfterBreak="0">
    <w:nsid w:val="7738779A"/>
    <w:multiLevelType w:val="multilevel"/>
    <w:tmpl w:val="FB0CC186"/>
    <w:styleLink w:val="headings"/>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lvlText w:val="%1.%2.%3"/>
      <w:lvlJc w:val="left"/>
      <w:pPr>
        <w:tabs>
          <w:tab w:val="num" w:pos="851"/>
        </w:tabs>
        <w:ind w:left="851" w:hanging="851"/>
      </w:pPr>
      <w:rPr>
        <w:rFonts w:hint="default"/>
      </w:rPr>
    </w:lvl>
    <w:lvl w:ilvl="3">
      <w:start w:val="1"/>
      <w:numFmt w:val="decimal"/>
      <w:lvlText w:val="%1.%2.%3.%4"/>
      <w:lvlJc w:val="left"/>
      <w:pPr>
        <w:tabs>
          <w:tab w:val="num" w:pos="851"/>
        </w:tabs>
        <w:ind w:left="851" w:hanging="851"/>
      </w:pPr>
      <w:rPr>
        <w:rFonts w:hint="default"/>
      </w:rPr>
    </w:lvl>
    <w:lvl w:ilvl="4">
      <w:start w:val="1"/>
      <w:numFmt w:val="decimal"/>
      <w:lvlText w:val="%1.%2.%3.%4.%5"/>
      <w:lvlJc w:val="left"/>
      <w:pPr>
        <w:tabs>
          <w:tab w:val="num" w:pos="964"/>
        </w:tabs>
        <w:ind w:left="964" w:hanging="964"/>
      </w:pPr>
      <w:rPr>
        <w:rFonts w:ascii="Times New Roman" w:hAnsi="Times New Roman" w:hint="default"/>
        <w:b w:val="0"/>
        <w:i/>
        <w:sz w:val="20"/>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15:restartNumberingAfterBreak="0">
    <w:nsid w:val="7B274BC8"/>
    <w:multiLevelType w:val="multilevel"/>
    <w:tmpl w:val="9A94892A"/>
    <w:styleLink w:val="arabnumitem"/>
    <w:lvl w:ilvl="0">
      <w:start w:val="1"/>
      <w:numFmt w:val="decimal"/>
      <w:lvlRestart w:val="0"/>
      <w:pStyle w:val="numitem"/>
      <w:lvlText w:val="%1."/>
      <w:lvlJc w:val="right"/>
      <w:pPr>
        <w:tabs>
          <w:tab w:val="num" w:pos="0"/>
        </w:tabs>
        <w:ind w:left="227" w:hanging="57"/>
      </w:pPr>
      <w:rPr>
        <w:rFonts w:hint="default"/>
      </w:rPr>
    </w:lvl>
    <w:lvl w:ilvl="1">
      <w:start w:val="1"/>
      <w:numFmt w:val="lowerLetter"/>
      <w:lvlText w:val="%2."/>
      <w:lvlJc w:val="left"/>
      <w:pPr>
        <w:tabs>
          <w:tab w:val="num" w:pos="227"/>
        </w:tabs>
        <w:ind w:left="454" w:hanging="227"/>
      </w:pPr>
      <w:rPr>
        <w:rFonts w:hint="default"/>
      </w:rPr>
    </w:lvl>
    <w:lvl w:ilvl="2">
      <w:start w:val="1"/>
      <w:numFmt w:val="decimal"/>
      <w:lvlText w:val="(%3)"/>
      <w:lvlJc w:val="left"/>
      <w:pPr>
        <w:tabs>
          <w:tab w:val="num" w:pos="454"/>
        </w:tabs>
        <w:ind w:left="794" w:hanging="340"/>
      </w:pPr>
      <w:rPr>
        <w:rFonts w:hint="default"/>
      </w:rPr>
    </w:lvl>
    <w:lvl w:ilvl="3">
      <w:start w:val="1"/>
      <w:numFmt w:val="lowerRoman"/>
      <w:lvlText w:val="%4."/>
      <w:lvlJc w:val="left"/>
      <w:pPr>
        <w:tabs>
          <w:tab w:val="num" w:pos="794"/>
        </w:tabs>
        <w:ind w:left="1077" w:hanging="283"/>
      </w:pPr>
      <w:rPr>
        <w:rFonts w:hint="default"/>
      </w:rPr>
    </w:lvl>
    <w:lvl w:ilvl="4">
      <w:start w:val="1"/>
      <w:numFmt w:val="lowerLetter"/>
      <w:lvlText w:val="(%5)"/>
      <w:lvlJc w:val="left"/>
      <w:pPr>
        <w:tabs>
          <w:tab w:val="num" w:pos="1077"/>
        </w:tabs>
        <w:ind w:left="1360" w:hanging="283"/>
      </w:pPr>
      <w:rPr>
        <w:rFonts w:hint="default"/>
      </w:rPr>
    </w:lvl>
    <w:lvl w:ilvl="5">
      <w:start w:val="1"/>
      <w:numFmt w:val="upperLetter"/>
      <w:lvlText w:val="%6."/>
      <w:lvlJc w:val="left"/>
      <w:pPr>
        <w:tabs>
          <w:tab w:val="num" w:pos="1360"/>
        </w:tabs>
        <w:ind w:left="1700" w:hanging="340"/>
      </w:pPr>
      <w:rPr>
        <w:rFonts w:hint="default"/>
      </w:rPr>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7D9521C8"/>
    <w:multiLevelType w:val="multilevel"/>
    <w:tmpl w:val="BA8E768C"/>
    <w:styleLink w:val="referencelist"/>
    <w:lvl w:ilvl="0">
      <w:start w:val="1"/>
      <w:numFmt w:val="decimal"/>
      <w:pStyle w:val="referenceitem"/>
      <w:lvlText w:val="%1."/>
      <w:lvlJc w:val="right"/>
      <w:pPr>
        <w:tabs>
          <w:tab w:val="num" w:pos="341"/>
        </w:tabs>
        <w:ind w:left="341" w:hanging="114"/>
      </w:pPr>
      <w:rPr>
        <w:rFonts w:hint="default"/>
      </w:rPr>
    </w:lvl>
    <w:lvl w:ilvl="1">
      <w:start w:val="1"/>
      <w:numFmt w:val="lowerLetter"/>
      <w:lvlText w:val="%2."/>
      <w:lvlJc w:val="left"/>
      <w:pPr>
        <w:tabs>
          <w:tab w:val="num" w:pos="1896"/>
        </w:tabs>
        <w:ind w:left="1896" w:hanging="360"/>
      </w:pPr>
      <w:rPr>
        <w:rFonts w:hint="default"/>
      </w:rPr>
    </w:lvl>
    <w:lvl w:ilvl="2">
      <w:start w:val="1"/>
      <w:numFmt w:val="lowerRoman"/>
      <w:lvlText w:val="%3."/>
      <w:lvlJc w:val="right"/>
      <w:pPr>
        <w:tabs>
          <w:tab w:val="num" w:pos="2616"/>
        </w:tabs>
        <w:ind w:left="2616" w:hanging="180"/>
      </w:pPr>
      <w:rPr>
        <w:rFonts w:hint="default"/>
      </w:rPr>
    </w:lvl>
    <w:lvl w:ilvl="3">
      <w:start w:val="1"/>
      <w:numFmt w:val="decimal"/>
      <w:lvlText w:val="%4."/>
      <w:lvlJc w:val="left"/>
      <w:pPr>
        <w:tabs>
          <w:tab w:val="num" w:pos="3336"/>
        </w:tabs>
        <w:ind w:left="3336" w:hanging="360"/>
      </w:pPr>
      <w:rPr>
        <w:rFonts w:hint="default"/>
      </w:rPr>
    </w:lvl>
    <w:lvl w:ilvl="4">
      <w:start w:val="1"/>
      <w:numFmt w:val="lowerLetter"/>
      <w:lvlText w:val="%5."/>
      <w:lvlJc w:val="left"/>
      <w:pPr>
        <w:tabs>
          <w:tab w:val="num" w:pos="4056"/>
        </w:tabs>
        <w:ind w:left="4056" w:hanging="360"/>
      </w:pPr>
      <w:rPr>
        <w:rFonts w:hint="default"/>
      </w:rPr>
    </w:lvl>
    <w:lvl w:ilvl="5">
      <w:start w:val="1"/>
      <w:numFmt w:val="lowerRoman"/>
      <w:lvlText w:val="%6."/>
      <w:lvlJc w:val="right"/>
      <w:pPr>
        <w:tabs>
          <w:tab w:val="num" w:pos="4776"/>
        </w:tabs>
        <w:ind w:left="4776" w:hanging="180"/>
      </w:pPr>
      <w:rPr>
        <w:rFonts w:hint="default"/>
      </w:rPr>
    </w:lvl>
    <w:lvl w:ilvl="6">
      <w:start w:val="1"/>
      <w:numFmt w:val="decimal"/>
      <w:lvlText w:val="%7."/>
      <w:lvlJc w:val="left"/>
      <w:pPr>
        <w:tabs>
          <w:tab w:val="num" w:pos="5496"/>
        </w:tabs>
        <w:ind w:left="5496" w:hanging="360"/>
      </w:pPr>
      <w:rPr>
        <w:rFonts w:hint="default"/>
      </w:rPr>
    </w:lvl>
    <w:lvl w:ilvl="7">
      <w:start w:val="1"/>
      <w:numFmt w:val="lowerLetter"/>
      <w:lvlText w:val="%8."/>
      <w:lvlJc w:val="left"/>
      <w:pPr>
        <w:tabs>
          <w:tab w:val="num" w:pos="6216"/>
        </w:tabs>
        <w:ind w:left="6216" w:hanging="360"/>
      </w:pPr>
      <w:rPr>
        <w:rFonts w:hint="default"/>
      </w:rPr>
    </w:lvl>
    <w:lvl w:ilvl="8">
      <w:start w:val="1"/>
      <w:numFmt w:val="lowerRoman"/>
      <w:lvlText w:val="%9."/>
      <w:lvlJc w:val="right"/>
      <w:pPr>
        <w:tabs>
          <w:tab w:val="num" w:pos="6936"/>
        </w:tabs>
        <w:ind w:left="6936" w:hanging="180"/>
      </w:pPr>
      <w:rPr>
        <w:rFonts w:hint="default"/>
      </w:rPr>
    </w:lvl>
  </w:abstractNum>
  <w:num w:numId="1" w16cid:durableId="1696881559">
    <w:abstractNumId w:val="0"/>
  </w:num>
  <w:num w:numId="2" w16cid:durableId="391395789">
    <w:abstractNumId w:val="0"/>
  </w:num>
  <w:num w:numId="3" w16cid:durableId="1522085737">
    <w:abstractNumId w:val="1"/>
  </w:num>
  <w:num w:numId="4" w16cid:durableId="182062993">
    <w:abstractNumId w:val="1"/>
  </w:num>
  <w:num w:numId="5" w16cid:durableId="1886134885">
    <w:abstractNumId w:val="3"/>
  </w:num>
  <w:num w:numId="6" w16cid:durableId="1661956814">
    <w:abstractNumId w:val="3"/>
  </w:num>
  <w:num w:numId="7" w16cid:durableId="1583298109">
    <w:abstractNumId w:val="2"/>
  </w:num>
  <w:num w:numId="8" w16cid:durableId="354118383">
    <w:abstractNumId w:val="4"/>
  </w:num>
  <w:num w:numId="9" w16cid:durableId="177351367">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5"/>
  <w:proofState w:spelling="clean" w:grammar="clean"/>
  <w:defaultTabStop w:val="720"/>
  <w:autoHyphenation/>
  <w:hyphenationZone w:val="400"/>
  <w:doNotHyphenateCaps/>
  <w:evenAndOddHeaders/>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E6F"/>
    <w:rsid w:val="000015AB"/>
    <w:rsid w:val="000046C7"/>
    <w:rsid w:val="00006725"/>
    <w:rsid w:val="00010FB0"/>
    <w:rsid w:val="00015161"/>
    <w:rsid w:val="00024442"/>
    <w:rsid w:val="00025A32"/>
    <w:rsid w:val="00031E5F"/>
    <w:rsid w:val="000509A9"/>
    <w:rsid w:val="000514D2"/>
    <w:rsid w:val="0005347A"/>
    <w:rsid w:val="0005659A"/>
    <w:rsid w:val="00056C5C"/>
    <w:rsid w:val="000611F8"/>
    <w:rsid w:val="00070DDE"/>
    <w:rsid w:val="00071196"/>
    <w:rsid w:val="000763F1"/>
    <w:rsid w:val="000779B1"/>
    <w:rsid w:val="0009205E"/>
    <w:rsid w:val="000A0DC0"/>
    <w:rsid w:val="000A250F"/>
    <w:rsid w:val="000C1351"/>
    <w:rsid w:val="000D02EA"/>
    <w:rsid w:val="000F085D"/>
    <w:rsid w:val="001066D2"/>
    <w:rsid w:val="00107475"/>
    <w:rsid w:val="00110B05"/>
    <w:rsid w:val="00122A19"/>
    <w:rsid w:val="00125271"/>
    <w:rsid w:val="0013127C"/>
    <w:rsid w:val="00134065"/>
    <w:rsid w:val="00134992"/>
    <w:rsid w:val="00136025"/>
    <w:rsid w:val="00137EFB"/>
    <w:rsid w:val="001400AC"/>
    <w:rsid w:val="0014176E"/>
    <w:rsid w:val="00154563"/>
    <w:rsid w:val="00162CDE"/>
    <w:rsid w:val="00165288"/>
    <w:rsid w:val="00175F08"/>
    <w:rsid w:val="00186F0D"/>
    <w:rsid w:val="00193BBC"/>
    <w:rsid w:val="00194DB7"/>
    <w:rsid w:val="001A00FE"/>
    <w:rsid w:val="001B16B2"/>
    <w:rsid w:val="001B2E62"/>
    <w:rsid w:val="001B4ECA"/>
    <w:rsid w:val="001C3193"/>
    <w:rsid w:val="001C4ED9"/>
    <w:rsid w:val="001C7888"/>
    <w:rsid w:val="001C7F44"/>
    <w:rsid w:val="001E6706"/>
    <w:rsid w:val="001F2D54"/>
    <w:rsid w:val="001F40FA"/>
    <w:rsid w:val="001F4946"/>
    <w:rsid w:val="0020293A"/>
    <w:rsid w:val="002126EE"/>
    <w:rsid w:val="002156F4"/>
    <w:rsid w:val="00215ABF"/>
    <w:rsid w:val="00221FDB"/>
    <w:rsid w:val="002241C2"/>
    <w:rsid w:val="00231E8B"/>
    <w:rsid w:val="00251D2B"/>
    <w:rsid w:val="00251F06"/>
    <w:rsid w:val="00255140"/>
    <w:rsid w:val="0025547B"/>
    <w:rsid w:val="00260C56"/>
    <w:rsid w:val="002630A1"/>
    <w:rsid w:val="002657FD"/>
    <w:rsid w:val="00274727"/>
    <w:rsid w:val="00285751"/>
    <w:rsid w:val="002857B8"/>
    <w:rsid w:val="00285889"/>
    <w:rsid w:val="002877AE"/>
    <w:rsid w:val="00294B9C"/>
    <w:rsid w:val="002A1244"/>
    <w:rsid w:val="002B1957"/>
    <w:rsid w:val="002C648B"/>
    <w:rsid w:val="002D1A38"/>
    <w:rsid w:val="002D3557"/>
    <w:rsid w:val="002D4BB4"/>
    <w:rsid w:val="002D52DA"/>
    <w:rsid w:val="002E0CCB"/>
    <w:rsid w:val="002E135E"/>
    <w:rsid w:val="002E5A9F"/>
    <w:rsid w:val="002F0DF8"/>
    <w:rsid w:val="002F3CD3"/>
    <w:rsid w:val="003014F4"/>
    <w:rsid w:val="003044BB"/>
    <w:rsid w:val="003102E2"/>
    <w:rsid w:val="00310676"/>
    <w:rsid w:val="00325C18"/>
    <w:rsid w:val="00337115"/>
    <w:rsid w:val="00337558"/>
    <w:rsid w:val="003467A3"/>
    <w:rsid w:val="0035157F"/>
    <w:rsid w:val="00353EBD"/>
    <w:rsid w:val="00364C1B"/>
    <w:rsid w:val="0036560C"/>
    <w:rsid w:val="00367D93"/>
    <w:rsid w:val="003721C8"/>
    <w:rsid w:val="003757B0"/>
    <w:rsid w:val="0038491B"/>
    <w:rsid w:val="003871F6"/>
    <w:rsid w:val="00397938"/>
    <w:rsid w:val="003B265D"/>
    <w:rsid w:val="003B68E7"/>
    <w:rsid w:val="003C087B"/>
    <w:rsid w:val="003C095F"/>
    <w:rsid w:val="003C68BD"/>
    <w:rsid w:val="003C7F1D"/>
    <w:rsid w:val="003D3E6F"/>
    <w:rsid w:val="003E431F"/>
    <w:rsid w:val="003E7BA6"/>
    <w:rsid w:val="003F215A"/>
    <w:rsid w:val="003F4CA6"/>
    <w:rsid w:val="003F544A"/>
    <w:rsid w:val="0040649F"/>
    <w:rsid w:val="00406AE1"/>
    <w:rsid w:val="0040775D"/>
    <w:rsid w:val="0041096B"/>
    <w:rsid w:val="004140F7"/>
    <w:rsid w:val="00414B70"/>
    <w:rsid w:val="00417C87"/>
    <w:rsid w:val="0042517E"/>
    <w:rsid w:val="004268FA"/>
    <w:rsid w:val="00433B4F"/>
    <w:rsid w:val="00434E03"/>
    <w:rsid w:val="00435F42"/>
    <w:rsid w:val="004366C9"/>
    <w:rsid w:val="00440C10"/>
    <w:rsid w:val="00442BEE"/>
    <w:rsid w:val="00453522"/>
    <w:rsid w:val="00453586"/>
    <w:rsid w:val="00460F43"/>
    <w:rsid w:val="0047303C"/>
    <w:rsid w:val="00476AE8"/>
    <w:rsid w:val="00485E88"/>
    <w:rsid w:val="0048737B"/>
    <w:rsid w:val="004924FD"/>
    <w:rsid w:val="00492D19"/>
    <w:rsid w:val="00494721"/>
    <w:rsid w:val="004A2CA1"/>
    <w:rsid w:val="004B65E3"/>
    <w:rsid w:val="004C6506"/>
    <w:rsid w:val="004D2F19"/>
    <w:rsid w:val="004E0DF7"/>
    <w:rsid w:val="004E6EDE"/>
    <w:rsid w:val="004E6F09"/>
    <w:rsid w:val="004F2C59"/>
    <w:rsid w:val="00500343"/>
    <w:rsid w:val="00510DE1"/>
    <w:rsid w:val="00517ECD"/>
    <w:rsid w:val="005207DE"/>
    <w:rsid w:val="005264FF"/>
    <w:rsid w:val="005266CC"/>
    <w:rsid w:val="005345E1"/>
    <w:rsid w:val="0055005D"/>
    <w:rsid w:val="005520C0"/>
    <w:rsid w:val="005528CC"/>
    <w:rsid w:val="00554591"/>
    <w:rsid w:val="00554747"/>
    <w:rsid w:val="005613CE"/>
    <w:rsid w:val="0056476A"/>
    <w:rsid w:val="00570064"/>
    <w:rsid w:val="00571B01"/>
    <w:rsid w:val="00575D81"/>
    <w:rsid w:val="00576FA2"/>
    <w:rsid w:val="00584A76"/>
    <w:rsid w:val="00584C82"/>
    <w:rsid w:val="00590858"/>
    <w:rsid w:val="005920E2"/>
    <w:rsid w:val="005A13CE"/>
    <w:rsid w:val="005A41FF"/>
    <w:rsid w:val="005A5E67"/>
    <w:rsid w:val="005B7227"/>
    <w:rsid w:val="005C772A"/>
    <w:rsid w:val="005C7AA9"/>
    <w:rsid w:val="005D026C"/>
    <w:rsid w:val="005D4FA8"/>
    <w:rsid w:val="005E13BC"/>
    <w:rsid w:val="006033DA"/>
    <w:rsid w:val="0061034C"/>
    <w:rsid w:val="00610AF0"/>
    <w:rsid w:val="00617C92"/>
    <w:rsid w:val="00622335"/>
    <w:rsid w:val="006237C2"/>
    <w:rsid w:val="0062419A"/>
    <w:rsid w:val="00635374"/>
    <w:rsid w:val="0063696B"/>
    <w:rsid w:val="00646FE0"/>
    <w:rsid w:val="00651891"/>
    <w:rsid w:val="00664220"/>
    <w:rsid w:val="0067039F"/>
    <w:rsid w:val="00674502"/>
    <w:rsid w:val="00676B3D"/>
    <w:rsid w:val="006850D3"/>
    <w:rsid w:val="006870C1"/>
    <w:rsid w:val="0069398F"/>
    <w:rsid w:val="006978F3"/>
    <w:rsid w:val="006A2AF5"/>
    <w:rsid w:val="006A30F8"/>
    <w:rsid w:val="006C0EE5"/>
    <w:rsid w:val="006C361F"/>
    <w:rsid w:val="006C376D"/>
    <w:rsid w:val="006C422F"/>
    <w:rsid w:val="006C5C34"/>
    <w:rsid w:val="006D49BB"/>
    <w:rsid w:val="006D6BC3"/>
    <w:rsid w:val="006D6E78"/>
    <w:rsid w:val="006D7DF8"/>
    <w:rsid w:val="006F2C26"/>
    <w:rsid w:val="00704192"/>
    <w:rsid w:val="00707AE1"/>
    <w:rsid w:val="00710972"/>
    <w:rsid w:val="00720505"/>
    <w:rsid w:val="00735D42"/>
    <w:rsid w:val="00740587"/>
    <w:rsid w:val="00741EFD"/>
    <w:rsid w:val="0074426F"/>
    <w:rsid w:val="00752375"/>
    <w:rsid w:val="0075517E"/>
    <w:rsid w:val="00756714"/>
    <w:rsid w:val="00763C6F"/>
    <w:rsid w:val="007656EF"/>
    <w:rsid w:val="00774AA9"/>
    <w:rsid w:val="00777A90"/>
    <w:rsid w:val="00790B30"/>
    <w:rsid w:val="00790EBE"/>
    <w:rsid w:val="00791328"/>
    <w:rsid w:val="007A3149"/>
    <w:rsid w:val="007B00EF"/>
    <w:rsid w:val="007B5031"/>
    <w:rsid w:val="007B5CC8"/>
    <w:rsid w:val="007B6E8F"/>
    <w:rsid w:val="007C22B9"/>
    <w:rsid w:val="007C37BF"/>
    <w:rsid w:val="007D0331"/>
    <w:rsid w:val="007D613B"/>
    <w:rsid w:val="007E1E6F"/>
    <w:rsid w:val="007E37BB"/>
    <w:rsid w:val="007E56CD"/>
    <w:rsid w:val="007F2E40"/>
    <w:rsid w:val="007F4CED"/>
    <w:rsid w:val="00814062"/>
    <w:rsid w:val="00814BBF"/>
    <w:rsid w:val="008161C0"/>
    <w:rsid w:val="00835D9B"/>
    <w:rsid w:val="0084346A"/>
    <w:rsid w:val="00850A32"/>
    <w:rsid w:val="008514C2"/>
    <w:rsid w:val="0085340B"/>
    <w:rsid w:val="008656CB"/>
    <w:rsid w:val="00865BE8"/>
    <w:rsid w:val="00873EF7"/>
    <w:rsid w:val="00874B5D"/>
    <w:rsid w:val="008760F9"/>
    <w:rsid w:val="008832D5"/>
    <w:rsid w:val="00884761"/>
    <w:rsid w:val="008854D8"/>
    <w:rsid w:val="008940E6"/>
    <w:rsid w:val="008A0B34"/>
    <w:rsid w:val="008A67D9"/>
    <w:rsid w:val="008B11EF"/>
    <w:rsid w:val="008B3397"/>
    <w:rsid w:val="008C1843"/>
    <w:rsid w:val="008C1D5E"/>
    <w:rsid w:val="008C4528"/>
    <w:rsid w:val="008E71F0"/>
    <w:rsid w:val="008F1C06"/>
    <w:rsid w:val="008F56AB"/>
    <w:rsid w:val="00904E64"/>
    <w:rsid w:val="009122A7"/>
    <w:rsid w:val="00935E66"/>
    <w:rsid w:val="00946E09"/>
    <w:rsid w:val="00952579"/>
    <w:rsid w:val="00956070"/>
    <w:rsid w:val="00957E6F"/>
    <w:rsid w:val="00962579"/>
    <w:rsid w:val="00970C7B"/>
    <w:rsid w:val="009735DB"/>
    <w:rsid w:val="0097518D"/>
    <w:rsid w:val="00976155"/>
    <w:rsid w:val="00983DDE"/>
    <w:rsid w:val="0098762E"/>
    <w:rsid w:val="00991EF5"/>
    <w:rsid w:val="009949A3"/>
    <w:rsid w:val="009A668E"/>
    <w:rsid w:val="009B1E4C"/>
    <w:rsid w:val="009B2C08"/>
    <w:rsid w:val="009B4EA6"/>
    <w:rsid w:val="009B5EE5"/>
    <w:rsid w:val="009B7024"/>
    <w:rsid w:val="009C0CB3"/>
    <w:rsid w:val="009C29D8"/>
    <w:rsid w:val="009C2E5E"/>
    <w:rsid w:val="009C56B1"/>
    <w:rsid w:val="009D12ED"/>
    <w:rsid w:val="009E24A3"/>
    <w:rsid w:val="009E3A8C"/>
    <w:rsid w:val="009E478E"/>
    <w:rsid w:val="009E7A0F"/>
    <w:rsid w:val="009F1052"/>
    <w:rsid w:val="00A04915"/>
    <w:rsid w:val="00A17970"/>
    <w:rsid w:val="00A20BD5"/>
    <w:rsid w:val="00A348D5"/>
    <w:rsid w:val="00A36007"/>
    <w:rsid w:val="00A44DA2"/>
    <w:rsid w:val="00A5680C"/>
    <w:rsid w:val="00A601AD"/>
    <w:rsid w:val="00A66ABA"/>
    <w:rsid w:val="00A66B43"/>
    <w:rsid w:val="00A67430"/>
    <w:rsid w:val="00A67F44"/>
    <w:rsid w:val="00A70783"/>
    <w:rsid w:val="00A71235"/>
    <w:rsid w:val="00A71492"/>
    <w:rsid w:val="00A722D7"/>
    <w:rsid w:val="00A72462"/>
    <w:rsid w:val="00A83EBD"/>
    <w:rsid w:val="00A90DAE"/>
    <w:rsid w:val="00A916EC"/>
    <w:rsid w:val="00A91776"/>
    <w:rsid w:val="00A933FE"/>
    <w:rsid w:val="00A93995"/>
    <w:rsid w:val="00A958B6"/>
    <w:rsid w:val="00AA3885"/>
    <w:rsid w:val="00AC3645"/>
    <w:rsid w:val="00AC3CD2"/>
    <w:rsid w:val="00AC6E6F"/>
    <w:rsid w:val="00AD4C0B"/>
    <w:rsid w:val="00B0547D"/>
    <w:rsid w:val="00B1671B"/>
    <w:rsid w:val="00B21988"/>
    <w:rsid w:val="00B21FC5"/>
    <w:rsid w:val="00B307C4"/>
    <w:rsid w:val="00B431BE"/>
    <w:rsid w:val="00B45D1E"/>
    <w:rsid w:val="00B56D9B"/>
    <w:rsid w:val="00B6673E"/>
    <w:rsid w:val="00B66B37"/>
    <w:rsid w:val="00B77AEA"/>
    <w:rsid w:val="00B93C95"/>
    <w:rsid w:val="00B95B8E"/>
    <w:rsid w:val="00BA64BD"/>
    <w:rsid w:val="00BB25A7"/>
    <w:rsid w:val="00BB372F"/>
    <w:rsid w:val="00BB7318"/>
    <w:rsid w:val="00BD2AA0"/>
    <w:rsid w:val="00BD3118"/>
    <w:rsid w:val="00BE23DF"/>
    <w:rsid w:val="00BF1015"/>
    <w:rsid w:val="00BF7BEE"/>
    <w:rsid w:val="00C027F8"/>
    <w:rsid w:val="00C12CE1"/>
    <w:rsid w:val="00C13641"/>
    <w:rsid w:val="00C16032"/>
    <w:rsid w:val="00C24F28"/>
    <w:rsid w:val="00C26921"/>
    <w:rsid w:val="00C27972"/>
    <w:rsid w:val="00C36D52"/>
    <w:rsid w:val="00C37EF9"/>
    <w:rsid w:val="00C53332"/>
    <w:rsid w:val="00C6232F"/>
    <w:rsid w:val="00C63C8B"/>
    <w:rsid w:val="00C641DD"/>
    <w:rsid w:val="00C65ED5"/>
    <w:rsid w:val="00C75C6F"/>
    <w:rsid w:val="00C82C73"/>
    <w:rsid w:val="00C8652E"/>
    <w:rsid w:val="00C90C12"/>
    <w:rsid w:val="00C91B73"/>
    <w:rsid w:val="00CA1595"/>
    <w:rsid w:val="00CA578E"/>
    <w:rsid w:val="00CC0AE9"/>
    <w:rsid w:val="00CC1BCF"/>
    <w:rsid w:val="00CD3005"/>
    <w:rsid w:val="00CD4283"/>
    <w:rsid w:val="00CE07F7"/>
    <w:rsid w:val="00D01741"/>
    <w:rsid w:val="00D02B8E"/>
    <w:rsid w:val="00D078E1"/>
    <w:rsid w:val="00D1305B"/>
    <w:rsid w:val="00D17062"/>
    <w:rsid w:val="00D22094"/>
    <w:rsid w:val="00D3365C"/>
    <w:rsid w:val="00D34BA1"/>
    <w:rsid w:val="00D45BEB"/>
    <w:rsid w:val="00D507DE"/>
    <w:rsid w:val="00D5104E"/>
    <w:rsid w:val="00D54AD2"/>
    <w:rsid w:val="00D54F92"/>
    <w:rsid w:val="00D55CF3"/>
    <w:rsid w:val="00D57E84"/>
    <w:rsid w:val="00D6676A"/>
    <w:rsid w:val="00D808C1"/>
    <w:rsid w:val="00DA1B8F"/>
    <w:rsid w:val="00DA2C5B"/>
    <w:rsid w:val="00DA503A"/>
    <w:rsid w:val="00DA797A"/>
    <w:rsid w:val="00DB0EC4"/>
    <w:rsid w:val="00DB1539"/>
    <w:rsid w:val="00DB1DAF"/>
    <w:rsid w:val="00DB22AE"/>
    <w:rsid w:val="00DB3C7F"/>
    <w:rsid w:val="00DB504B"/>
    <w:rsid w:val="00DB5712"/>
    <w:rsid w:val="00DB6908"/>
    <w:rsid w:val="00DC71CD"/>
    <w:rsid w:val="00DD23D7"/>
    <w:rsid w:val="00DD6007"/>
    <w:rsid w:val="00DE7476"/>
    <w:rsid w:val="00DF47D0"/>
    <w:rsid w:val="00DF633C"/>
    <w:rsid w:val="00E03844"/>
    <w:rsid w:val="00E03C4E"/>
    <w:rsid w:val="00E14158"/>
    <w:rsid w:val="00E23D11"/>
    <w:rsid w:val="00E24864"/>
    <w:rsid w:val="00E265F5"/>
    <w:rsid w:val="00E31B6C"/>
    <w:rsid w:val="00E32B0C"/>
    <w:rsid w:val="00E330F4"/>
    <w:rsid w:val="00E36225"/>
    <w:rsid w:val="00E37C1E"/>
    <w:rsid w:val="00E42CD6"/>
    <w:rsid w:val="00E6120D"/>
    <w:rsid w:val="00E63446"/>
    <w:rsid w:val="00E73028"/>
    <w:rsid w:val="00E8231C"/>
    <w:rsid w:val="00E8253E"/>
    <w:rsid w:val="00E91084"/>
    <w:rsid w:val="00EA11CE"/>
    <w:rsid w:val="00EA12D8"/>
    <w:rsid w:val="00EA3065"/>
    <w:rsid w:val="00EA4C25"/>
    <w:rsid w:val="00EC0008"/>
    <w:rsid w:val="00ED1FC6"/>
    <w:rsid w:val="00EE1105"/>
    <w:rsid w:val="00EE2D2F"/>
    <w:rsid w:val="00EE3018"/>
    <w:rsid w:val="00EE4C51"/>
    <w:rsid w:val="00EE5328"/>
    <w:rsid w:val="00EE5788"/>
    <w:rsid w:val="00EF70C5"/>
    <w:rsid w:val="00F02872"/>
    <w:rsid w:val="00F036C7"/>
    <w:rsid w:val="00F11E13"/>
    <w:rsid w:val="00F13296"/>
    <w:rsid w:val="00F16F1B"/>
    <w:rsid w:val="00F17179"/>
    <w:rsid w:val="00F17ABC"/>
    <w:rsid w:val="00F23CBC"/>
    <w:rsid w:val="00F329C1"/>
    <w:rsid w:val="00F336CB"/>
    <w:rsid w:val="00F35667"/>
    <w:rsid w:val="00F616B4"/>
    <w:rsid w:val="00F671D4"/>
    <w:rsid w:val="00F730BD"/>
    <w:rsid w:val="00F751F0"/>
    <w:rsid w:val="00F86665"/>
    <w:rsid w:val="00F90BF5"/>
    <w:rsid w:val="00F96AC7"/>
    <w:rsid w:val="00FB2A69"/>
    <w:rsid w:val="00FB3C62"/>
    <w:rsid w:val="00FC1364"/>
    <w:rsid w:val="00FC751A"/>
    <w:rsid w:val="00FD565C"/>
    <w:rsid w:val="00FD6E4A"/>
    <w:rsid w:val="00FE2AD9"/>
    <w:rsid w:val="00FE4E95"/>
    <w:rsid w:val="00FE7791"/>
    <w:rsid w:val="00FF6C87"/>
    <w:rsid w:val="00FF7651"/>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A10231"/>
  <w14:defaultImageDpi w14:val="32767"/>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pPr>
        <w:spacing w:line="240" w:lineRule="atLeast"/>
      </w:pPr>
    </w:pPrDefault>
  </w:docDefaults>
  <w:latentStyles w:defLockedState="0" w:defUIPriority="0" w:defSemiHidden="0" w:defUnhideWhenUsed="0" w:defQFormat="0" w:count="376">
    <w:lsdException w:name="Normal" w:qFormat="1"/>
    <w:lsdException w:name="heading 1" w:semiHidden="1"/>
    <w:lsdException w:name="heading 2" w:semiHidden="1"/>
    <w:lsdException w:name="heading 3" w:semiHidden="1"/>
    <w:lsdException w:name="heading 4" w:semiHidden="1"/>
    <w:lsdException w:name="heading 5" w:semiHidden="1"/>
    <w:lsdException w:name="heading 6" w:semiHidden="1"/>
    <w:lsdException w:name="heading 7" w:semiHidden="1"/>
    <w:lsdException w:name="heading 8" w:semiHidden="1"/>
    <w:lsdException w:name="heading 9" w:semiHidden="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lsdException w:name="toc 2" w:semiHidden="1"/>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Default Paragraph Font" w:semiHidden="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lsdException w:name="Emphasis" w:semiHidden="1" w:uiPriority="20" w:qFormat="1"/>
    <w:lsdException w:name="Document Map" w:semiHidden="1"/>
    <w:lsdException w:name="Plain Text" w:semiHidden="1"/>
    <w:lsdException w:name="E-mail Signature" w:semiHidden="1"/>
    <w:lsdException w:name="HTML Top of Form" w:semiHidden="1"/>
    <w:lsdException w:name="HTML Bottom of Form"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lsdException w:name="Outline List 1" w:semiHidden="1"/>
    <w:lsdException w:name="Outline List 2" w:semiHidden="1"/>
    <w:lsdException w:name="Outline List 3" w:semiHidden="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semiHidden="1"/>
    <w:lsdException w:name="Quote" w:semiHidden="1"/>
    <w:lsdException w:name="Intense Quote"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lsdException w:name="Intense Emphasis" w:semiHidden="1"/>
    <w:lsdException w:name="Subtle Reference" w:semiHidden="1"/>
    <w:lsdException w:name="Intense Reference" w:semiHidden="1"/>
    <w:lsdException w:name="Book Title" w:semiHidden="1"/>
    <w:lsdException w:name="Bibliography" w:semiHidden="1"/>
    <w:lsdException w:name="TOC Heading" w:semiHidden="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03C4E"/>
    <w:pPr>
      <w:overflowPunct w:val="0"/>
      <w:autoSpaceDE w:val="0"/>
      <w:autoSpaceDN w:val="0"/>
      <w:adjustRightInd w:val="0"/>
      <w:ind w:firstLine="227"/>
      <w:jc w:val="both"/>
      <w:textAlignment w:val="baseline"/>
    </w:pPr>
  </w:style>
  <w:style w:type="paragraph" w:styleId="Heading10">
    <w:name w:val="heading 1"/>
    <w:basedOn w:val="Normal"/>
    <w:next w:val="p1a"/>
    <w:semiHidden/>
    <w:unhideWhenUsed/>
    <w:qFormat/>
    <w:pPr>
      <w:keepNext/>
      <w:keepLines/>
      <w:suppressAutoHyphens/>
      <w:spacing w:before="360" w:after="240" w:line="300" w:lineRule="atLeast"/>
      <w:ind w:left="567" w:hanging="567"/>
      <w:jc w:val="left"/>
      <w:outlineLvl w:val="0"/>
    </w:pPr>
    <w:rPr>
      <w:b/>
      <w:sz w:val="24"/>
    </w:rPr>
  </w:style>
  <w:style w:type="paragraph" w:styleId="Heading20">
    <w:name w:val="heading 2"/>
    <w:basedOn w:val="Normal"/>
    <w:next w:val="p1a"/>
    <w:semiHidden/>
    <w:unhideWhenUsed/>
    <w:qFormat/>
    <w:pPr>
      <w:keepNext/>
      <w:keepLines/>
      <w:suppressAutoHyphens/>
      <w:spacing w:before="360" w:after="160"/>
      <w:ind w:left="567" w:hanging="567"/>
      <w:jc w:val="left"/>
      <w:outlineLvl w:val="1"/>
    </w:pPr>
    <w:rPr>
      <w:b/>
    </w:rPr>
  </w:style>
  <w:style w:type="paragraph" w:styleId="Heading3">
    <w:name w:val="heading 3"/>
    <w:basedOn w:val="Normal"/>
    <w:next w:val="Normal"/>
    <w:qFormat/>
    <w:pPr>
      <w:spacing w:before="360"/>
      <w:ind w:firstLine="0"/>
      <w:outlineLvl w:val="2"/>
    </w:pPr>
  </w:style>
  <w:style w:type="paragraph" w:styleId="Heading4">
    <w:name w:val="heading 4"/>
    <w:basedOn w:val="Normal"/>
    <w:next w:val="Normal"/>
    <w:qFormat/>
    <w:pPr>
      <w:spacing w:before="240"/>
      <w:ind w:firstLine="0"/>
      <w:outlineLvl w:val="3"/>
    </w:p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stract">
    <w:name w:val="abstract"/>
    <w:basedOn w:val="Normal"/>
    <w:pPr>
      <w:spacing w:before="600" w:after="360" w:line="220" w:lineRule="atLeast"/>
      <w:ind w:left="567" w:right="567"/>
      <w:contextualSpacing/>
    </w:pPr>
    <w:rPr>
      <w:sz w:val="18"/>
    </w:rPr>
  </w:style>
  <w:style w:type="paragraph" w:customStyle="1" w:styleId="address">
    <w:name w:val="address"/>
    <w:basedOn w:val="Normal"/>
    <w:pPr>
      <w:spacing w:after="200" w:line="220" w:lineRule="atLeast"/>
      <w:ind w:firstLine="0"/>
      <w:contextualSpacing/>
      <w:jc w:val="center"/>
    </w:pPr>
    <w:rPr>
      <w:sz w:val="18"/>
    </w:rPr>
  </w:style>
  <w:style w:type="numbering" w:customStyle="1" w:styleId="arabnumitem">
    <w:name w:val="arabnumitem"/>
    <w:basedOn w:val="NoList"/>
    <w:pPr>
      <w:numPr>
        <w:numId w:val="5"/>
      </w:numPr>
    </w:pPr>
  </w:style>
  <w:style w:type="paragraph" w:customStyle="1" w:styleId="author">
    <w:name w:val="author"/>
    <w:basedOn w:val="Normal"/>
    <w:next w:val="address"/>
    <w:pPr>
      <w:spacing w:after="200" w:line="220" w:lineRule="atLeast"/>
      <w:ind w:firstLine="0"/>
      <w:jc w:val="center"/>
    </w:pPr>
  </w:style>
  <w:style w:type="paragraph" w:customStyle="1" w:styleId="bulletitem">
    <w:name w:val="bulletitem"/>
    <w:basedOn w:val="Normal"/>
    <w:pPr>
      <w:numPr>
        <w:numId w:val="1"/>
      </w:numPr>
      <w:spacing w:before="160" w:after="160"/>
      <w:contextualSpacing/>
    </w:pPr>
  </w:style>
  <w:style w:type="paragraph" w:customStyle="1" w:styleId="dashitem">
    <w:name w:val="dashitem"/>
    <w:basedOn w:val="Normal"/>
    <w:pPr>
      <w:numPr>
        <w:numId w:val="3"/>
      </w:numPr>
      <w:spacing w:before="160" w:after="160"/>
      <w:contextualSpacing/>
    </w:pPr>
  </w:style>
  <w:style w:type="character" w:customStyle="1" w:styleId="e-mail">
    <w:name w:val="e-mail"/>
    <w:basedOn w:val="DefaultParagraphFont"/>
    <w:rPr>
      <w:rFonts w:ascii="Courier" w:hAnsi="Courier" w:cs="Courier"/>
      <w:noProof/>
    </w:rPr>
  </w:style>
  <w:style w:type="paragraph" w:customStyle="1" w:styleId="equation">
    <w:name w:val="equation"/>
    <w:basedOn w:val="Normal"/>
    <w:next w:val="Normal"/>
    <w:pPr>
      <w:tabs>
        <w:tab w:val="center" w:pos="3289"/>
        <w:tab w:val="right" w:pos="6917"/>
      </w:tabs>
      <w:spacing w:before="160" w:after="160"/>
      <w:ind w:firstLine="0"/>
    </w:pPr>
  </w:style>
  <w:style w:type="paragraph" w:customStyle="1" w:styleId="figurecaption">
    <w:name w:val="figurecaption"/>
    <w:basedOn w:val="Normal"/>
    <w:next w:val="Normal"/>
    <w:pPr>
      <w:keepNext/>
      <w:keepLines/>
      <w:spacing w:before="120" w:after="240" w:line="220" w:lineRule="atLeast"/>
      <w:ind w:firstLine="0"/>
      <w:jc w:val="center"/>
    </w:pPr>
    <w:rPr>
      <w:sz w:val="18"/>
    </w:rPr>
  </w:style>
  <w:style w:type="character" w:styleId="FootnoteReference">
    <w:name w:val="footnote reference"/>
    <w:basedOn w:val="DefaultParagraphFont"/>
    <w:semiHidden/>
    <w:unhideWhenUsed/>
    <w:rPr>
      <w:position w:val="0"/>
      <w:vertAlign w:val="superscript"/>
    </w:rPr>
  </w:style>
  <w:style w:type="paragraph" w:styleId="Footer">
    <w:name w:val="footer"/>
    <w:basedOn w:val="Normal"/>
    <w:unhideWhenUsed/>
  </w:style>
  <w:style w:type="paragraph" w:customStyle="1" w:styleId="heading1">
    <w:name w:val="heading1"/>
    <w:basedOn w:val="Normal"/>
    <w:next w:val="p1a"/>
    <w:qFormat/>
    <w:pPr>
      <w:keepNext/>
      <w:keepLines/>
      <w:numPr>
        <w:numId w:val="7"/>
      </w:numPr>
      <w:suppressAutoHyphens/>
      <w:spacing w:before="360" w:after="240" w:line="300" w:lineRule="atLeast"/>
      <w:ind w:right="567"/>
      <w:jc w:val="left"/>
      <w:outlineLvl w:val="0"/>
    </w:pPr>
    <w:rPr>
      <w:b/>
      <w:sz w:val="24"/>
    </w:rPr>
  </w:style>
  <w:style w:type="paragraph" w:customStyle="1" w:styleId="heading2">
    <w:name w:val="heading2"/>
    <w:basedOn w:val="Normal"/>
    <w:next w:val="p1a"/>
    <w:qFormat/>
    <w:pPr>
      <w:keepNext/>
      <w:keepLines/>
      <w:numPr>
        <w:ilvl w:val="1"/>
        <w:numId w:val="7"/>
      </w:numPr>
      <w:suppressAutoHyphens/>
      <w:spacing w:before="360" w:after="160"/>
      <w:ind w:right="567"/>
      <w:jc w:val="left"/>
      <w:outlineLvl w:val="1"/>
    </w:pPr>
    <w:rPr>
      <w:b/>
    </w:rPr>
  </w:style>
  <w:style w:type="character" w:customStyle="1" w:styleId="heading30">
    <w:name w:val="heading3"/>
    <w:basedOn w:val="DefaultParagraphFont"/>
    <w:rPr>
      <w:b/>
    </w:rPr>
  </w:style>
  <w:style w:type="paragraph" w:customStyle="1" w:styleId="acknowlegments">
    <w:name w:val="acknowlegments"/>
    <w:basedOn w:val="Normal"/>
    <w:qFormat/>
    <w:pPr>
      <w:spacing w:before="240" w:line="220" w:lineRule="atLeast"/>
      <w:ind w:firstLine="0"/>
    </w:pPr>
    <w:rPr>
      <w:sz w:val="18"/>
    </w:rPr>
  </w:style>
  <w:style w:type="character" w:customStyle="1" w:styleId="heading40">
    <w:name w:val="heading4"/>
    <w:basedOn w:val="DefaultParagraphFont"/>
    <w:rPr>
      <w:i/>
    </w:rPr>
  </w:style>
  <w:style w:type="numbering" w:customStyle="1" w:styleId="headings">
    <w:name w:val="headings"/>
    <w:basedOn w:val="arabnumitem"/>
    <w:pPr>
      <w:numPr>
        <w:numId w:val="7"/>
      </w:numPr>
    </w:pPr>
  </w:style>
  <w:style w:type="character" w:styleId="Hyperlink">
    <w:name w:val="Hyperlink"/>
    <w:basedOn w:val="DefaultParagraphFont"/>
    <w:unhideWhenUsed/>
    <w:rPr>
      <w:color w:val="auto"/>
      <w:u w:val="none"/>
    </w:rPr>
  </w:style>
  <w:style w:type="paragraph" w:customStyle="1" w:styleId="image">
    <w:name w:val="image"/>
    <w:basedOn w:val="Normal"/>
    <w:next w:val="Normal"/>
    <w:pPr>
      <w:spacing w:before="240" w:after="120"/>
      <w:ind w:firstLine="0"/>
      <w:jc w:val="center"/>
    </w:pPr>
  </w:style>
  <w:style w:type="numbering" w:customStyle="1" w:styleId="itemization1">
    <w:name w:val="itemization1"/>
    <w:basedOn w:val="NoList"/>
    <w:pPr>
      <w:numPr>
        <w:numId w:val="1"/>
      </w:numPr>
    </w:pPr>
  </w:style>
  <w:style w:type="numbering" w:customStyle="1" w:styleId="itemization2">
    <w:name w:val="itemization2"/>
    <w:basedOn w:val="NoList"/>
    <w:pPr>
      <w:numPr>
        <w:numId w:val="3"/>
      </w:numPr>
    </w:pPr>
  </w:style>
  <w:style w:type="paragraph" w:customStyle="1" w:styleId="keywords">
    <w:name w:val="keywords"/>
    <w:basedOn w:val="abstract"/>
    <w:next w:val="heading1"/>
    <w:pPr>
      <w:spacing w:before="220"/>
      <w:ind w:firstLine="0"/>
      <w:contextualSpacing w:val="0"/>
      <w:jc w:val="left"/>
    </w:pPr>
  </w:style>
  <w:style w:type="paragraph" w:styleId="Header">
    <w:name w:val="header"/>
    <w:basedOn w:val="Normal"/>
    <w:unhideWhenUsed/>
    <w:pPr>
      <w:tabs>
        <w:tab w:val="center" w:pos="4536"/>
        <w:tab w:val="right" w:pos="9072"/>
      </w:tabs>
      <w:ind w:firstLine="0"/>
    </w:pPr>
    <w:rPr>
      <w:sz w:val="18"/>
      <w:szCs w:val="18"/>
    </w:rPr>
  </w:style>
  <w:style w:type="paragraph" w:customStyle="1" w:styleId="numitem">
    <w:name w:val="numitem"/>
    <w:basedOn w:val="Normal"/>
    <w:pPr>
      <w:numPr>
        <w:numId w:val="5"/>
      </w:numPr>
      <w:spacing w:before="160" w:after="160"/>
      <w:contextualSpacing/>
    </w:pPr>
  </w:style>
  <w:style w:type="paragraph" w:customStyle="1" w:styleId="p1a">
    <w:name w:val="p1a"/>
    <w:basedOn w:val="Normal"/>
    <w:next w:val="Normal"/>
    <w:pPr>
      <w:ind w:firstLine="0"/>
    </w:pPr>
  </w:style>
  <w:style w:type="paragraph" w:customStyle="1" w:styleId="programcode">
    <w:name w:val="programcode"/>
    <w:basedOn w:val="Normal"/>
    <w:pPr>
      <w:tabs>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 w:val="left" w:pos="3856"/>
        <w:tab w:val="left" w:pos="4082"/>
        <w:tab w:val="left" w:pos="4309"/>
        <w:tab w:val="left" w:pos="4536"/>
        <w:tab w:val="left" w:pos="4763"/>
        <w:tab w:val="left" w:pos="4990"/>
        <w:tab w:val="left" w:pos="5216"/>
        <w:tab w:val="left" w:pos="5443"/>
        <w:tab w:val="left" w:pos="5670"/>
        <w:tab w:val="left" w:pos="5897"/>
        <w:tab w:val="left" w:pos="6124"/>
        <w:tab w:val="left" w:pos="6350"/>
        <w:tab w:val="left" w:pos="6577"/>
      </w:tabs>
      <w:spacing w:before="160" w:after="160"/>
      <w:ind w:firstLine="0"/>
      <w:contextualSpacing/>
      <w:jc w:val="left"/>
    </w:pPr>
    <w:rPr>
      <w:rFonts w:ascii="Courier" w:hAnsi="Courier" w:cs="Courier"/>
    </w:rPr>
  </w:style>
  <w:style w:type="paragraph" w:customStyle="1" w:styleId="referenceitem">
    <w:name w:val="referenceitem"/>
    <w:basedOn w:val="Normal"/>
    <w:pPr>
      <w:numPr>
        <w:numId w:val="8"/>
      </w:numPr>
      <w:spacing w:line="220" w:lineRule="atLeast"/>
    </w:pPr>
    <w:rPr>
      <w:sz w:val="18"/>
    </w:rPr>
  </w:style>
  <w:style w:type="numbering" w:customStyle="1" w:styleId="referencelist">
    <w:name w:val="referencelist"/>
    <w:basedOn w:val="NoList"/>
    <w:semiHidden/>
    <w:pPr>
      <w:numPr>
        <w:numId w:val="8"/>
      </w:numPr>
    </w:pPr>
  </w:style>
  <w:style w:type="paragraph" w:customStyle="1" w:styleId="runningheadleft">
    <w:name w:val="runninghead left"/>
    <w:basedOn w:val="Normal"/>
    <w:pPr>
      <w:tabs>
        <w:tab w:val="left" w:pos="680"/>
      </w:tabs>
      <w:ind w:firstLine="0"/>
      <w:jc w:val="left"/>
    </w:pPr>
    <w:rPr>
      <w:sz w:val="18"/>
      <w:szCs w:val="18"/>
    </w:rPr>
  </w:style>
  <w:style w:type="paragraph" w:customStyle="1" w:styleId="runningheadright">
    <w:name w:val="runninghead right"/>
    <w:basedOn w:val="Normal"/>
    <w:pPr>
      <w:tabs>
        <w:tab w:val="right" w:pos="6237"/>
        <w:tab w:val="right" w:pos="6917"/>
      </w:tabs>
      <w:ind w:firstLine="0"/>
      <w:jc w:val="left"/>
    </w:pPr>
    <w:rPr>
      <w:bCs/>
      <w:sz w:val="18"/>
      <w:szCs w:val="18"/>
    </w:rPr>
  </w:style>
  <w:style w:type="character" w:styleId="PageNumber">
    <w:name w:val="page number"/>
    <w:basedOn w:val="DefaultParagraphFont"/>
    <w:semiHidden/>
    <w:unhideWhenUsed/>
    <w:rPr>
      <w:sz w:val="18"/>
    </w:rPr>
  </w:style>
  <w:style w:type="paragraph" w:customStyle="1" w:styleId="papertitle">
    <w:name w:val="papertitle"/>
    <w:basedOn w:val="Normal"/>
    <w:next w:val="author"/>
    <w:pPr>
      <w:keepNext/>
      <w:keepLines/>
      <w:suppressAutoHyphens/>
      <w:spacing w:after="480" w:line="360" w:lineRule="atLeast"/>
      <w:ind w:firstLine="0"/>
      <w:jc w:val="center"/>
    </w:pPr>
    <w:rPr>
      <w:b/>
      <w:sz w:val="28"/>
    </w:rPr>
  </w:style>
  <w:style w:type="paragraph" w:customStyle="1" w:styleId="papersubtitle">
    <w:name w:val="papersubtitle"/>
    <w:basedOn w:val="papertitle"/>
    <w:next w:val="author"/>
    <w:pPr>
      <w:spacing w:before="120" w:line="280" w:lineRule="atLeast"/>
    </w:pPr>
    <w:rPr>
      <w:sz w:val="24"/>
    </w:rPr>
  </w:style>
  <w:style w:type="paragraph" w:customStyle="1" w:styleId="tablecaption">
    <w:name w:val="tablecaption"/>
    <w:basedOn w:val="Normal"/>
    <w:next w:val="Normal"/>
    <w:pPr>
      <w:keepNext/>
      <w:keepLines/>
      <w:spacing w:before="240" w:after="120" w:line="220" w:lineRule="atLeast"/>
      <w:ind w:firstLine="0"/>
      <w:jc w:val="center"/>
    </w:pPr>
    <w:rPr>
      <w:sz w:val="18"/>
    </w:rPr>
  </w:style>
  <w:style w:type="character" w:customStyle="1" w:styleId="url">
    <w:name w:val="url"/>
    <w:basedOn w:val="DefaultParagraphFont"/>
    <w:rPr>
      <w:rFonts w:ascii="Courier" w:hAnsi="Courier" w:cs="Courier"/>
      <w:noProof/>
    </w:rPr>
  </w:style>
  <w:style w:type="character" w:customStyle="1" w:styleId="ORCID">
    <w:name w:val="ORCID"/>
    <w:basedOn w:val="DefaultParagraphFont"/>
    <w:rPr>
      <w:noProof/>
      <w:position w:val="0"/>
      <w:vertAlign w:val="superscript"/>
    </w:rPr>
  </w:style>
  <w:style w:type="paragraph" w:styleId="FootnoteText">
    <w:name w:val="footnote text"/>
    <w:basedOn w:val="Normal"/>
    <w:semiHidden/>
    <w:pPr>
      <w:spacing w:line="220" w:lineRule="atLeast"/>
      <w:ind w:left="227" w:hanging="227"/>
    </w:pPr>
    <w:rPr>
      <w:sz w:val="18"/>
    </w:rPr>
  </w:style>
  <w:style w:type="paragraph" w:customStyle="1" w:styleId="ReferenceLine">
    <w:name w:val="ReferenceLine"/>
    <w:basedOn w:val="p1a"/>
    <w:semiHidden/>
    <w:unhideWhenUsed/>
    <w:pPr>
      <w:spacing w:line="200" w:lineRule="exact"/>
    </w:pPr>
    <w:rPr>
      <w:sz w:val="16"/>
    </w:rPr>
  </w:style>
  <w:style w:type="character" w:styleId="PlaceholderText">
    <w:name w:val="Placeholder Text"/>
    <w:basedOn w:val="DefaultParagraphFont"/>
    <w:semiHidden/>
    <w:rsid w:val="000015AB"/>
    <w:rPr>
      <w:color w:val="666666"/>
    </w:rPr>
  </w:style>
  <w:style w:type="paragraph" w:styleId="Caption">
    <w:name w:val="caption"/>
    <w:basedOn w:val="Normal"/>
    <w:next w:val="Normal"/>
    <w:semiHidden/>
    <w:rsid w:val="008B11EF"/>
    <w:pPr>
      <w:spacing w:after="200" w:line="240" w:lineRule="auto"/>
    </w:pPr>
    <w:rPr>
      <w:i/>
      <w:iCs/>
      <w:color w:val="44546A" w:themeColor="text2"/>
      <w:sz w:val="18"/>
      <w:szCs w:val="18"/>
    </w:rPr>
  </w:style>
  <w:style w:type="character" w:styleId="UnresolvedMention">
    <w:name w:val="Unresolved Mention"/>
    <w:basedOn w:val="DefaultParagraphFont"/>
    <w:uiPriority w:val="99"/>
    <w:semiHidden/>
    <w:unhideWhenUsed/>
    <w:rsid w:val="008C1843"/>
    <w:rPr>
      <w:color w:val="605E5C"/>
      <w:shd w:val="clear" w:color="auto" w:fill="E1DFDD"/>
    </w:rPr>
  </w:style>
  <w:style w:type="character" w:styleId="FollowedHyperlink">
    <w:name w:val="FollowedHyperlink"/>
    <w:basedOn w:val="DefaultParagraphFont"/>
    <w:semiHidden/>
    <w:rsid w:val="008C1843"/>
    <w:rPr>
      <w:color w:val="954F72" w:themeColor="followedHyperlink"/>
      <w:u w:val="single"/>
    </w:rPr>
  </w:style>
  <w:style w:type="table" w:styleId="TableGrid">
    <w:name w:val="Table Grid"/>
    <w:basedOn w:val="TableNormal"/>
    <w:rsid w:val="006870C1"/>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1F40F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0053114">
      <w:bodyDiv w:val="1"/>
      <w:marLeft w:val="0"/>
      <w:marRight w:val="0"/>
      <w:marTop w:val="0"/>
      <w:marBottom w:val="0"/>
      <w:divBdr>
        <w:top w:val="none" w:sz="0" w:space="0" w:color="auto"/>
        <w:left w:val="none" w:sz="0" w:space="0" w:color="auto"/>
        <w:bottom w:val="none" w:sz="0" w:space="0" w:color="auto"/>
        <w:right w:val="none" w:sz="0" w:space="0" w:color="auto"/>
      </w:divBdr>
    </w:div>
    <w:div w:id="918828064">
      <w:bodyDiv w:val="1"/>
      <w:marLeft w:val="0"/>
      <w:marRight w:val="0"/>
      <w:marTop w:val="0"/>
      <w:marBottom w:val="0"/>
      <w:divBdr>
        <w:top w:val="none" w:sz="0" w:space="0" w:color="auto"/>
        <w:left w:val="none" w:sz="0" w:space="0" w:color="auto"/>
        <w:bottom w:val="none" w:sz="0" w:space="0" w:color="auto"/>
        <w:right w:val="none" w:sz="0" w:space="0" w:color="auto"/>
      </w:divBdr>
    </w:div>
    <w:div w:id="1170755825">
      <w:bodyDiv w:val="1"/>
      <w:marLeft w:val="0"/>
      <w:marRight w:val="0"/>
      <w:marTop w:val="0"/>
      <w:marBottom w:val="0"/>
      <w:divBdr>
        <w:top w:val="none" w:sz="0" w:space="0" w:color="auto"/>
        <w:left w:val="none" w:sz="0" w:space="0" w:color="auto"/>
        <w:bottom w:val="none" w:sz="0" w:space="0" w:color="auto"/>
        <w:right w:val="none" w:sz="0" w:space="0" w:color="auto"/>
      </w:divBdr>
    </w:div>
    <w:div w:id="147490904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mailto:oarbelwo@uwo.ca" TargetMode="Externa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arxiv.org/abs/1804.03999"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yperlink" Target="https://doi.org/10.1007/s00521-024-10441-6" TargetMode="External"/><Relationship Id="rId10" Type="http://schemas.openxmlformats.org/officeDocument/2006/relationships/hyperlink" Target="https://github.com/oarbelw/XBoundNetPlusPlus"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afenster@uwo.ca" TargetMode="External"/><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UI/_rels/customUI14.xml.rels><?xml version="1.0" encoding="UTF-8" standalone="yes"?>
<Relationships xmlns="http://schemas.openxmlformats.org/package/2006/relationships"><Relationship Id="removespace" Type="http://schemas.openxmlformats.org/officeDocument/2006/relationships/image" Target="images/removespace.png"/><Relationship Id="FigCaption" Type="http://schemas.openxmlformats.org/officeDocument/2006/relationships/image" Target="images/FigCaption.png"/><Relationship Id="papertitle" Type="http://schemas.openxmlformats.org/officeDocument/2006/relationships/image" Target="images/papertitle.png"/><Relationship Id="ORCID" Type="http://schemas.openxmlformats.org/officeDocument/2006/relationships/image" Target="images/ORCID.png"/><Relationship Id="bulletitem" Type="http://schemas.openxmlformats.org/officeDocument/2006/relationships/image" Target="images/bulletitem.png"/><Relationship Id="arrowleft" Type="http://schemas.openxmlformats.org/officeDocument/2006/relationships/image" Target="images/arrowleft.png"/><Relationship Id="addspace" Type="http://schemas.openxmlformats.org/officeDocument/2006/relationships/image" Target="images/addspace.png"/><Relationship Id="togglenumbering" Type="http://schemas.openxmlformats.org/officeDocument/2006/relationships/image" Target="images/togglenumbering.png"/><Relationship Id="referenceitem" Type="http://schemas.openxmlformats.org/officeDocument/2006/relationships/image" Target="images/referenceitem.png"/><Relationship Id="eqnumber" Type="http://schemas.openxmlformats.org/officeDocument/2006/relationships/image" Target="images/eqnumber.png"/><Relationship Id="normalspace" Type="http://schemas.openxmlformats.org/officeDocument/2006/relationships/image" Target="images/normalspace.png"/><Relationship Id="RedoStyles" Type="http://schemas.openxmlformats.org/officeDocument/2006/relationships/image" Target="images/RedoStyles.png"/><Relationship Id="arrowright" Type="http://schemas.openxmlformats.org/officeDocument/2006/relationships/image" Target="images/arrowright.png"/><Relationship Id="abstract" Type="http://schemas.openxmlformats.org/officeDocument/2006/relationships/image" Target="images/abstract.png"/><Relationship Id="TabCaption" Type="http://schemas.openxmlformats.org/officeDocument/2006/relationships/image" Target="images/TabCaption.png"/><Relationship Id="equation" Type="http://schemas.openxmlformats.org/officeDocument/2006/relationships/image" Target="images/equation.png"/><Relationship Id="normal" Type="http://schemas.openxmlformats.org/officeDocument/2006/relationships/image" Target="images/normal.png"/><Relationship Id="squeeze" Type="http://schemas.openxmlformats.org/officeDocument/2006/relationships/image" Target="images/squeeze.png"/><Relationship Id="InsertImage" Type="http://schemas.openxmlformats.org/officeDocument/2006/relationships/image" Target="images/InsertImage.png"/><Relationship Id="expand" Type="http://schemas.openxmlformats.org/officeDocument/2006/relationships/image" Target="images/expand.png"/><Relationship Id="numitem" Type="http://schemas.openxmlformats.org/officeDocument/2006/relationships/image" Target="images/numitem.png"/><Relationship Id="papersubtitle" Type="http://schemas.openxmlformats.org/officeDocument/2006/relationships/image" Target="images/subtitle.png"/><Relationship Id="dashitem" Type="http://schemas.openxmlformats.org/officeDocument/2006/relationships/image" Target="images/dashitem.png"/><Relationship Id="address" Type="http://schemas.openxmlformats.org/officeDocument/2006/relationships/image" Target="images/address.png"/><Relationship Id="HeaderFooter" Type="http://schemas.openxmlformats.org/officeDocument/2006/relationships/image" Target="images/HeaderFooter.png"/><Relationship Id="author" Type="http://schemas.openxmlformats.org/officeDocument/2006/relationships/image" Target="images/author.png"/></Relationships>
</file>

<file path=customUI/customUI14.xml><?xml version="1.0" encoding="utf-8"?>
<customUI xmlns="http://schemas.microsoft.com/office/2009/07/customui" onLoad="LoadSpProcRibbon">
  <ribbon startFromScratch="false">
    <tabs>
      <tab id="tabSpProc" insertBeforeMso="TabHome" label="Springer Proceedings Macros">
        <group id="grTitlePage" label="Title Page" autoScale="true">
          <button id="btnTitle" label="Title" image="papertitle" size="large" onAction="MakeTitle" screentip="Format selected text as paper title"/>
          <button id="btnSubtitle" label="Subtitle" image="papersubtitle" size="large" onAction="MakeSubtitle" screentip="Format selected text as paper subtitle (optional)"/>
          <button id="btnAuthor" label="Author" image="author" size="large" onAction="MakeAuthor" screentip="Format selected text as paper author(s)"/>
          <box id="box1" boxStyle="vertical">
            <button id="btnORCID" label="ORCID" image="ORCID" size="normal" onAction="MakeORCID" screentip="Format selected text as ORCID id" supertip="Please note that ORCID ids will not be printed. In the online version they will be replaced by icons that are linked to the related ORCID pages."/>
          </box>
          <box id="box11">
            <button id="btnAddress" label="Address" image="address" size="normal" onAction="MakeAddress" screentip="Format selected text as affiliation (including e-mail address, URL)"/>
          </box>
          <box id="box12">
            <button id="btnEmail" label="E-mail" imageMso="EnvelopesAndLabelsDialog" size="normal" onAction="MakeEMail" screentip="Format selected text as e-mail address or URL (apply typewriter style)"/>
          </box>
          <button id="btnAbstract" label="Abstract" image="abstract" size="large" onAction="MakeAbstract" screentip="Format selected text as abstract" supertip="If not present, the word 'Abstract' is added at the beginning of the first paragraph."/>
          <button id="btnKeywords" label="Keywords" imageMso="ReviewTrackChanges" size="large" onAction="MakeKeywords" screentip="Format selected text as keywords" supertip="If not present, the word 'Keywords' is added at the beginning of the first paragraph."/>
        </group>
        <group id="grBasicFormats" image="lncs2" label="Basic Formats" autoScale="true">
          <button id="btnH1" label="H1" imageMso="PivotTableLayoutShowInOutlineForm" size="large" onAction="H1" screentip="Format selected text as heading (level 1)"/>
          <button id="btnH2" label="H2" imageMso="PivotTableLayoutShowInCompactForm" size="large" onAction="H2" screentip="Format selected text as heading (level 2)"/>
          <button id="btnH3" label="H3" imageMso="PivotTableLayoutBlankRows" size="large" onAction="H3" screentip="Format selected text as an unnumbered heading (level 3)"/>
          <button id="btnH4" label="H4" imageMso="PivotTableLayoutSubtotals" size="large" onAction="H4" screentip="Format selected text as an unnumbered heading (level 4)"/>
          <box id="box2" boxStyle="vertical">
            <button id="btnBullet" label="Bullet Item" image="bulletitem" onAction="MakeBulletItem" screentip="Format selected text as bullet item(s)" supertip="Please note that bullets are the default for unnumbered lists in Springer proceedings."/>
          </box>
          <box id="box21" boxStyle="vertical">
            <button id="btnDash" label="Dash Item" image="dashitem" onAction="MakeDashItem" screentip="Format selected text as dash item(s)" supertip="Please note that bullets are the default for unnumbered lists in Springer proceedings."/>
          </box>
          <box id="box22" boxStyle="vertical">
            <button id="btnNumbered" label="Num Item" image="numitem" onAction="MakeNumItem" screentip="Format selected text as numbered item(s)"/>
          </box>
          <box id="box3" boxStyle="horizontal">
            <button id="btnListLevelUp" label="List Level +" image="arrowright" onAction="ListLevelUp" screentip="Move the selected text one level up in the list hierarchy" supertip="This buttton can be used to create and edit nested lists (numbered and unnumbered)."/>
          </box>
          <box id="box31" boxStyle="vertical">
            <button id="btnListLevelDown" label="List Level -" image="arrowleft" onAction="ListLevelDown" screentip="Move the selected text one level down in the list hierarchy" supertip="This buttton can be used to create and edit nested lists (numbered and unnumbered)."/>
          </box>
          <box id="box23" boxStyle="vertical">
            <button id="btnToggleNum" label=" 1../..n.." image="togglenumbering" onAction="RestartNumbering" screentip="Toggle between restarting and continuing a numbered list" supertip="Applies to numbered lists only."/>
          </box>
          <button id="btnStandard" label="Normal Text" image="normal" size="large" onAction="MakeStandard" screentip="Format the selection as normal text" supertip="This button can change both paragraph format and character style. If applied to a nonstandard paragraph, the standard paragraph format is applied. If applied to a standard paragraph, the standard character style is applied. If you want to both apply the standard paragraph format and remove a nonstandard character style, simply click on the button twice."/>
          <box id="box4">
            <button id="btnAddSpace" label="Add Space" image="addspace" onAction="AddVerticalSpace" screentip="Add 6 pt (2.1 mm) of vertical space before the selected paragraph."/>
          </box>
          <box id="box41">
            <button id="btnClearSpace" label="Clear Space" image="removespace" onAction="ClearVerticalSpace" screentip="Clear any vertical space before and after the selected text"/>
          </box>
          <box id="box42">
            <button id="btnFootnote" label="Footnote" imageMso="FootnoteInsert" onAction="InsertFN" screentip="Add a footnote"/>
          </box>
          <button id="btnReference" label="Reference Item" image="referenceitem" size="large" onAction="MakeRefItem" screentip="Format selected text as reference item"/>
        </group>
        <group id="grSpecialFormats" label="Figures, Tables, Equations" autoScale="true">
          <box id="box5" boxStyle="vertical">
            <button id="btnInsImage" label="Insert Image" image="InsertImage" onAction="InsertImage" screentip="Insert an image"/>
          </box>
          <box id="box51" boxStyle="vertical">
            <button id="btnTable" label="Table Caption" image="TabCaption" onAction="MakeTableCaption" screentip="Format selected text as table caption" supertip="Please note that the table is numbered with an automatic counter that is updated whenever you reopen the document. A table caption should always be positioned above the related table."/>
          </box>
          <box id="box52" boxStyle="vertical">
            <button id="btnFigure" label="Figure Caption" image="FigCaption" onAction="MakeFigCaption" screentip="Format selected text as figure caption" supertip="Please note that the figure is numbered with an automatic counter that is updated whenever you reopen the document. A figure caption should always be positioned below the related figure."/>
          </box>
          <button id="btnEquation" label="Displayed Equation" image="equation" size="large" onAction="MakeEquation" screentip="Format the selected text as a displayed equation"/>
          <button id="btnEqCounter" label="Add Eq. Number" image="eqnumber" size="large" onAction="AddEqCounter" screentip="Add an equation number to a selected equation" supertip="The equation numbering is updated whenever you open the document"/>
          <button id="btnProgcode" label="Prog. Code" imageMso="CreateStoredProcedure" size="large" onAction="MakeProgCode" screentip="Format the selected text as program code (typewriter style)"/>
        </group>
        <group id="grRestoreTemplate" label="Template" autoScale="true">
          <button id="btnRestTemplate" label="Check Styles" imageMso="AccessThemesGallery" size="large" onAction="RestoreSettings" screentip="Restore all styles" supertip="Use this button if the original template styles might have been altered or deleted."/>
        </group>
      </tab>
    </tabs>
  </ribbon>
</customUI>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9F93076-9DCB-D940-BBB1-50E85AEA0C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10</Pages>
  <Words>4103</Words>
  <Characters>24624</Characters>
  <Application>Microsoft Office Word</Application>
  <DocSecurity>0</DocSecurity>
  <Lines>447</Lines>
  <Paragraphs>176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28551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Markus Richter</dc:creator>
  <dc:description>Styles and macros for Springer Lecture Notes</dc:description>
  <cp:lastModifiedBy>Oren Arbel-Wood</cp:lastModifiedBy>
  <cp:revision>4</cp:revision>
  <cp:lastPrinted>2025-08-05T03:50:00Z</cp:lastPrinted>
  <dcterms:created xsi:type="dcterms:W3CDTF">2025-08-05T03:33:00Z</dcterms:created>
  <dcterms:modified xsi:type="dcterms:W3CDTF">2025-08-05T03:57:00Z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d7448811715da55310052d640926f1d40c21e2844ac394ad1edd2fdbd0dc24bd</vt:lpwstr>
  </property>
</Properties>
</file>