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B0A9" w14:textId="559F3048" w:rsidR="00E259FD" w:rsidRDefault="00D51154" w:rsidP="00E259FD">
      <w:pPr>
        <w:pStyle w:val="berschrift1"/>
      </w:pPr>
      <w:r w:rsidRPr="00D51154">
        <w:t xml:space="preserve">On the Interdependency between Artificial Intelligence and </w:t>
      </w:r>
      <w:r w:rsidR="00CA5C40">
        <w:t xml:space="preserve">THE </w:t>
      </w:r>
      <w:r w:rsidRPr="00D51154">
        <w:t>Environment and its Implications on CS Education</w:t>
      </w:r>
      <w:r w:rsidR="00E259FD">
        <w:t>)</w:t>
      </w:r>
    </w:p>
    <w:p w14:paraId="4ACA8A21" w14:textId="4A400C5D" w:rsidR="00E259FD" w:rsidRPr="00956C62" w:rsidRDefault="00D51154">
      <w:pPr>
        <w:jc w:val="center"/>
        <w:rPr>
          <w:u w:val="single"/>
          <w:lang w:val="de-DE"/>
        </w:rPr>
      </w:pPr>
      <w:r w:rsidRPr="00956C62">
        <w:rPr>
          <w:lang w:val="de-DE"/>
        </w:rPr>
        <w:t>Marc Berges</w:t>
      </w:r>
      <w:r w:rsidR="002434D4" w:rsidRPr="00956C62">
        <w:rPr>
          <w:vertAlign w:val="superscript"/>
          <w:lang w:val="de-DE"/>
        </w:rPr>
        <w:t>1</w:t>
      </w:r>
      <w:r w:rsidR="002434D4" w:rsidRPr="00956C62">
        <w:rPr>
          <w:lang w:val="de-DE"/>
        </w:rPr>
        <w:t xml:space="preserve"> &amp; </w:t>
      </w:r>
      <w:r w:rsidRPr="00956C62">
        <w:rPr>
          <w:lang w:val="de-DE"/>
        </w:rPr>
        <w:t>Jonas Vollhardt</w:t>
      </w:r>
      <w:r w:rsidR="002434D4" w:rsidRPr="00956C62">
        <w:rPr>
          <w:vertAlign w:val="superscript"/>
          <w:lang w:val="de-DE"/>
        </w:rPr>
        <w:t>2</w:t>
      </w:r>
    </w:p>
    <w:p w14:paraId="5868F8AA" w14:textId="305FC7C3" w:rsidR="002434D4" w:rsidRPr="00D51154" w:rsidRDefault="002434D4">
      <w:pPr>
        <w:jc w:val="center"/>
        <w:rPr>
          <w:lang w:val="de-DE"/>
        </w:rPr>
      </w:pPr>
      <w:r w:rsidRPr="00D51154">
        <w:rPr>
          <w:vertAlign w:val="superscript"/>
          <w:lang w:val="de-DE"/>
        </w:rPr>
        <w:t>1</w:t>
      </w:r>
      <w:r w:rsidR="00D51154" w:rsidRPr="00D51154">
        <w:rPr>
          <w:lang w:val="de-DE"/>
        </w:rPr>
        <w:t>Friedrich-Alexander-Universität Erlangen-Nürnberg</w:t>
      </w:r>
      <w:r w:rsidRPr="00D51154">
        <w:rPr>
          <w:lang w:val="de-DE"/>
        </w:rPr>
        <w:t xml:space="preserve">, </w:t>
      </w:r>
      <w:r w:rsidR="00D51154" w:rsidRPr="00D51154">
        <w:rPr>
          <w:lang w:val="de-DE"/>
        </w:rPr>
        <w:t>Germany</w:t>
      </w:r>
      <w:r w:rsidRPr="00D51154">
        <w:rPr>
          <w:lang w:val="de-DE"/>
        </w:rPr>
        <w:t xml:space="preserve">, </w:t>
      </w:r>
      <w:r w:rsidR="00D51154" w:rsidRPr="00D51154">
        <w:rPr>
          <w:lang w:val="de-DE"/>
        </w:rPr>
        <w:t>mar</w:t>
      </w:r>
      <w:r w:rsidR="00D51154">
        <w:rPr>
          <w:lang w:val="de-DE"/>
        </w:rPr>
        <w:t>c.berges@fau.de</w:t>
      </w:r>
    </w:p>
    <w:p w14:paraId="6C2BEC9C" w14:textId="0733E501" w:rsidR="003E50C0" w:rsidRPr="00D51154" w:rsidRDefault="002434D4" w:rsidP="003E50C0">
      <w:pPr>
        <w:jc w:val="center"/>
        <w:rPr>
          <w:lang w:val="de-DE"/>
        </w:rPr>
      </w:pPr>
      <w:r w:rsidRPr="00D51154">
        <w:rPr>
          <w:vertAlign w:val="superscript"/>
          <w:lang w:val="de-DE"/>
        </w:rPr>
        <w:t>2</w:t>
      </w:r>
      <w:r w:rsidR="00D51154" w:rsidRPr="00D51154">
        <w:rPr>
          <w:lang w:val="de-DE"/>
        </w:rPr>
        <w:t>Friedrich-Alexander-Universität Erlangen-Nürnberg</w:t>
      </w:r>
      <w:r w:rsidRPr="00D51154">
        <w:rPr>
          <w:lang w:val="de-DE"/>
        </w:rPr>
        <w:t xml:space="preserve">, </w:t>
      </w:r>
      <w:r w:rsidR="00D51154">
        <w:rPr>
          <w:lang w:val="de-DE"/>
        </w:rPr>
        <w:t>Germany</w:t>
      </w:r>
    </w:p>
    <w:p w14:paraId="228AAAAC" w14:textId="77777777" w:rsidR="00531AE4" w:rsidRPr="00D51154" w:rsidRDefault="00531AE4" w:rsidP="00531AE4">
      <w:pPr>
        <w:pStyle w:val="FocusTopics"/>
        <w:rPr>
          <w:lang w:val="de-DE"/>
        </w:rPr>
      </w:pPr>
    </w:p>
    <w:p w14:paraId="49F26D0C" w14:textId="0E586B94" w:rsidR="003E50C0" w:rsidRPr="00531AE4" w:rsidRDefault="003E50C0" w:rsidP="00531AE4">
      <w:pPr>
        <w:pStyle w:val="FocusTopics"/>
        <w:rPr>
          <w:bCs w:val="0"/>
          <w:sz w:val="21"/>
          <w:szCs w:val="24"/>
        </w:rPr>
      </w:pPr>
      <w:r w:rsidRPr="00531AE4">
        <w:rPr>
          <w:bCs w:val="0"/>
        </w:rPr>
        <w:t xml:space="preserve">Focus Topics: </w:t>
      </w:r>
      <w:r w:rsidR="001E0CA8" w:rsidRPr="001E0CA8">
        <w:t xml:space="preserve"> </w:t>
      </w:r>
      <w:r w:rsidR="001E0CA8" w:rsidRPr="001E0CA8">
        <w:rPr>
          <w:bCs w:val="0"/>
        </w:rPr>
        <w:t>AI and Data Science Curricula and Implementation in School</w:t>
      </w:r>
      <w:r w:rsidR="001E0CA8">
        <w:rPr>
          <w:bCs w:val="0"/>
        </w:rPr>
        <w:t xml:space="preserve">, </w:t>
      </w:r>
      <w:r w:rsidR="001E0CA8" w:rsidRPr="001E0CA8">
        <w:rPr>
          <w:bCs w:val="0"/>
        </w:rPr>
        <w:t>AI and Data Science Education for Social Good</w:t>
      </w:r>
      <w:r w:rsidRPr="00531AE4">
        <w:rPr>
          <w:bCs w:val="0"/>
        </w:rPr>
        <w:t xml:space="preserve"> </w:t>
      </w:r>
    </w:p>
    <w:p w14:paraId="30E5633E" w14:textId="0DD167D4" w:rsidR="008101AB" w:rsidRDefault="00D51154" w:rsidP="003F7D6B">
      <w:pPr>
        <w:pStyle w:val="berschrift2"/>
      </w:pPr>
      <w:r>
        <w:t>Introduction</w:t>
      </w:r>
    </w:p>
    <w:p w14:paraId="2D8052C3" w14:textId="77777777" w:rsidR="00D51154" w:rsidRDefault="00D51154" w:rsidP="00D51154">
      <w:pPr>
        <w:pStyle w:val="Textkrper"/>
      </w:pPr>
      <w:r>
        <w:t>The ongoing development of computing technology impacts society and increases the awareness of computer science. Industry and politics demand that students have computing literacy, and digitalization changes almost all fields of daily life. This development has increased with the introduction of generative artificial intelligence (AI) to society in general and education in particular. In education, two effects arise. On the one hand, education, and first and foremost computer science education, must address the need for computing literacy; on the other hand, digitalization changes the subject itself. So, both must react to the demands that result from the interdependency between AI and our environment.</w:t>
      </w:r>
    </w:p>
    <w:p w14:paraId="2EF3BB7D" w14:textId="77777777" w:rsidR="00D51154" w:rsidRDefault="00D51154" w:rsidP="00D51154">
      <w:pPr>
        <w:pStyle w:val="Textkrper"/>
      </w:pPr>
      <w:r>
        <w:t>Let us look at the current process of digitalization and AI-</w:t>
      </w:r>
      <w:proofErr w:type="spellStart"/>
      <w:r>
        <w:t>fication</w:t>
      </w:r>
      <w:proofErr w:type="spellEnd"/>
      <w:r>
        <w:t>, which is already evident in countless digital artifacts in our environment. The “</w:t>
      </w:r>
      <w:proofErr w:type="spellStart"/>
      <w:r>
        <w:t>Dagstuhl</w:t>
      </w:r>
      <w:proofErr w:type="spellEnd"/>
      <w:r>
        <w:t xml:space="preserve"> Triangle” (Brinda &amp; </w:t>
      </w:r>
      <w:proofErr w:type="spellStart"/>
      <w:r>
        <w:t>Diethelm</w:t>
      </w:r>
      <w:proofErr w:type="spellEnd"/>
      <w:r>
        <w:t xml:space="preserve">, 2017) defines three perspectives on digital phenomena and artifacts. Initially, the idea of phenomena occurred in natural sciences and was transferred by </w:t>
      </w:r>
      <w:proofErr w:type="spellStart"/>
      <w:r>
        <w:t>Diethelm</w:t>
      </w:r>
      <w:proofErr w:type="spellEnd"/>
      <w:r>
        <w:t xml:space="preserve"> et al. (2012) to computer science education. Central to the idea is an observable event or object based on computer science. The outcome is the central aspect, while the CS system remains invisible or at least a black box. Moreover, the phenomenon happens in peoples’ everyday lives. However, to emphasize the artificial character of AI, we should talk about artifacts. Those are human-made and not nature-given. Furthermore, in most cases, we cannot understand an AI system through experiments, which contrasts phenomena (Lindner &amp; Berges, 2024).</w:t>
      </w:r>
    </w:p>
    <w:p w14:paraId="28C2A9C3" w14:textId="576C6A2C" w:rsidR="00D51154" w:rsidRDefault="00D51154" w:rsidP="00D51154">
      <w:pPr>
        <w:pStyle w:val="Textkrper"/>
      </w:pPr>
      <w:r>
        <w:t>Regarding the massive impact of AI, we claim that computer science must take responsibility for the ongoing transformation processes. Changes to our environment through computer science artifacts must be well-considered and sustainable.</w:t>
      </w:r>
    </w:p>
    <w:p w14:paraId="381C4E0D" w14:textId="2937AFAB" w:rsidR="00E259FD" w:rsidRPr="005543A0" w:rsidRDefault="00D51154" w:rsidP="003F7D6B">
      <w:pPr>
        <w:pStyle w:val="berschrift2"/>
      </w:pPr>
      <w:r>
        <w:t>Human Environment</w:t>
      </w:r>
    </w:p>
    <w:p w14:paraId="2837BAED" w14:textId="1CAEF93A" w:rsidR="00D51154" w:rsidRDefault="00D51154" w:rsidP="00E259FD">
      <w:pPr>
        <w:pStyle w:val="Textkrper"/>
        <w:rPr>
          <w:szCs w:val="22"/>
        </w:rPr>
      </w:pPr>
      <w:r w:rsidRPr="00645975">
        <w:rPr>
          <w:szCs w:val="22"/>
        </w:rPr>
        <w:t>To address this, we would like to initiate the following holistic view (including a broader understanding of the term environment):</w:t>
      </w:r>
    </w:p>
    <w:p w14:paraId="7F9BD44C" w14:textId="1B176BEB" w:rsidR="00D51154" w:rsidRDefault="00D51154" w:rsidP="00E259FD">
      <w:pPr>
        <w:pStyle w:val="Textkrper"/>
      </w:pPr>
      <w:r w:rsidRPr="00645975">
        <w:rPr>
          <w:szCs w:val="22"/>
        </w:rPr>
        <w:t xml:space="preserve">In general, </w:t>
      </w:r>
      <w:r>
        <w:rPr>
          <w:szCs w:val="22"/>
        </w:rPr>
        <w:t xml:space="preserve">the </w:t>
      </w:r>
      <w:r w:rsidRPr="00645975">
        <w:rPr>
          <w:szCs w:val="22"/>
        </w:rPr>
        <w:t xml:space="preserve">human environment can be considered as a bundle of causal relations. It consists of at least three spheres of influence: ecosphere, </w:t>
      </w:r>
      <w:proofErr w:type="spellStart"/>
      <w:r w:rsidRPr="00645975">
        <w:rPr>
          <w:szCs w:val="22"/>
        </w:rPr>
        <w:t>sociosphere</w:t>
      </w:r>
      <w:proofErr w:type="spellEnd"/>
      <w:r>
        <w:rPr>
          <w:szCs w:val="22"/>
        </w:rPr>
        <w:t>,</w:t>
      </w:r>
      <w:r w:rsidRPr="00645975">
        <w:rPr>
          <w:szCs w:val="22"/>
        </w:rPr>
        <w:t xml:space="preserve"> and </w:t>
      </w:r>
      <w:proofErr w:type="spellStart"/>
      <w:r w:rsidRPr="00645975">
        <w:rPr>
          <w:szCs w:val="22"/>
        </w:rPr>
        <w:t>technosphere</w:t>
      </w:r>
      <w:proofErr w:type="spellEnd"/>
      <w:r w:rsidRPr="00645975">
        <w:rPr>
          <w:szCs w:val="22"/>
        </w:rPr>
        <w:t xml:space="preserve"> </w:t>
      </w:r>
      <w:r>
        <w:rPr>
          <w:szCs w:val="22"/>
        </w:rPr>
        <w:t>(Gardiner, 1989)</w:t>
      </w:r>
      <w:r w:rsidRPr="00645975">
        <w:rPr>
          <w:szCs w:val="22"/>
        </w:rPr>
        <w:t xml:space="preserve">. </w:t>
      </w:r>
      <w:r>
        <w:rPr>
          <w:szCs w:val="22"/>
        </w:rPr>
        <w:t>Supplementary, t</w:t>
      </w:r>
      <w:r w:rsidRPr="00645975">
        <w:rPr>
          <w:szCs w:val="22"/>
        </w:rPr>
        <w:t xml:space="preserve">he </w:t>
      </w:r>
      <w:proofErr w:type="spellStart"/>
      <w:r w:rsidRPr="00645975">
        <w:rPr>
          <w:szCs w:val="22"/>
        </w:rPr>
        <w:t>sociosphere</w:t>
      </w:r>
      <w:proofErr w:type="spellEnd"/>
      <w:r w:rsidRPr="00645975">
        <w:rPr>
          <w:szCs w:val="22"/>
        </w:rPr>
        <w:t xml:space="preserve"> m</w:t>
      </w:r>
      <w:r>
        <w:rPr>
          <w:szCs w:val="22"/>
        </w:rPr>
        <w:t>ight</w:t>
      </w:r>
      <w:r w:rsidRPr="00645975">
        <w:rPr>
          <w:szCs w:val="22"/>
        </w:rPr>
        <w:t xml:space="preserve"> be separated into two sub-spheres: politics and social fabric. </w:t>
      </w:r>
      <w:r>
        <w:rPr>
          <w:szCs w:val="22"/>
        </w:rPr>
        <w:t>While</w:t>
      </w:r>
      <w:r w:rsidRPr="00645975">
        <w:rPr>
          <w:szCs w:val="22"/>
        </w:rPr>
        <w:t xml:space="preserve"> politics</w:t>
      </w:r>
      <w:r>
        <w:rPr>
          <w:szCs w:val="22"/>
        </w:rPr>
        <w:t xml:space="preserve"> addresses a group of</w:t>
      </w:r>
      <w:r w:rsidRPr="00645975">
        <w:rPr>
          <w:szCs w:val="22"/>
        </w:rPr>
        <w:t xml:space="preserve"> people</w:t>
      </w:r>
      <w:r>
        <w:rPr>
          <w:szCs w:val="22"/>
        </w:rPr>
        <w:t>, the s</w:t>
      </w:r>
      <w:r w:rsidRPr="00645975">
        <w:rPr>
          <w:szCs w:val="22"/>
        </w:rPr>
        <w:t>ocial fabric</w:t>
      </w:r>
      <w:r>
        <w:rPr>
          <w:szCs w:val="22"/>
        </w:rPr>
        <w:t xml:space="preserve"> corresponds to </w:t>
      </w:r>
      <w:r w:rsidRPr="00645975">
        <w:rPr>
          <w:szCs w:val="22"/>
        </w:rPr>
        <w:t>individuals. Technosphere refers to the human-created or human-altered natural environment, so it lies across the other two spheres and contains one additional field: economy.</w:t>
      </w:r>
    </w:p>
    <w:p w14:paraId="1C9F9D27" w14:textId="03653210" w:rsidR="005543A0" w:rsidRPr="005543A0" w:rsidRDefault="00D51154" w:rsidP="003F7D6B">
      <w:pPr>
        <w:pStyle w:val="berschrift2"/>
      </w:pPr>
      <w:r>
        <w:t xml:space="preserve">Interdependency Between AI and </w:t>
      </w:r>
      <w:r w:rsidR="00B12E93">
        <w:t xml:space="preserve">the </w:t>
      </w:r>
      <w:r>
        <w:t>Environment</w:t>
      </w:r>
    </w:p>
    <w:p w14:paraId="486516B8" w14:textId="5B7D86EA" w:rsidR="003F7D6B" w:rsidRDefault="003F7D6B" w:rsidP="006877ED">
      <w:pPr>
        <w:pStyle w:val="Textkrper"/>
        <w:rPr>
          <w:lang w:val="en-GB"/>
        </w:rPr>
      </w:pPr>
      <w:r w:rsidRPr="003F7D6B">
        <w:rPr>
          <w:lang w:val="en-GB"/>
        </w:rPr>
        <w:t>Generative AI (</w:t>
      </w:r>
      <w:proofErr w:type="spellStart"/>
      <w:r w:rsidRPr="003F7D6B">
        <w:rPr>
          <w:lang w:val="en-GB"/>
        </w:rPr>
        <w:t>genAI</w:t>
      </w:r>
      <w:proofErr w:type="spellEnd"/>
      <w:r w:rsidRPr="003F7D6B">
        <w:rPr>
          <w:lang w:val="en-GB"/>
        </w:rPr>
        <w:t xml:space="preserve">) is a striking example of how CS has far-reaching effects on our environment, which then, in turn, impact computer science: Humans create </w:t>
      </w:r>
      <w:proofErr w:type="spellStart"/>
      <w:r w:rsidRPr="003F7D6B">
        <w:rPr>
          <w:lang w:val="en-GB"/>
        </w:rPr>
        <w:t>genAI</w:t>
      </w:r>
      <w:proofErr w:type="spellEnd"/>
      <w:r w:rsidRPr="003F7D6B">
        <w:rPr>
          <w:lang w:val="en-GB"/>
        </w:rPr>
        <w:t xml:space="preserve"> systems, which generate digital artifacts that become visible in the environment, for instance, in terms of AI-generated images. This enforces environmental changes in all areas. For example, increased risk of political influence through fake images (politics), increased CO2 emissions due to the high computing power required to generate images (ecology), social tensions and conflicts due to fake news (social fabric), faster and possibly personalized generated advertisements with fundamentally different paradigms (economy). This, in turn, impacts people in general (i.e., by having to question information even more critically, by having to deal with global warming, etc.) and CS (i.e., by emerging needs for better fake </w:t>
      </w:r>
      <w:r w:rsidRPr="003F7D6B">
        <w:rPr>
          <w:lang w:val="en-GB"/>
        </w:rPr>
        <w:lastRenderedPageBreak/>
        <w:t xml:space="preserve">news detection, etc.). All in all, </w:t>
      </w:r>
      <w:r w:rsidR="00A835FE">
        <w:rPr>
          <w:lang w:val="en-GB"/>
        </w:rPr>
        <w:t xml:space="preserve">as proposed earlier by Schulte and </w:t>
      </w:r>
      <w:proofErr w:type="spellStart"/>
      <w:r w:rsidR="00A835FE">
        <w:rPr>
          <w:lang w:val="en-GB"/>
        </w:rPr>
        <w:t>Budde</w:t>
      </w:r>
      <w:proofErr w:type="spellEnd"/>
      <w:r w:rsidR="00A835FE">
        <w:rPr>
          <w:lang w:val="en-GB"/>
        </w:rPr>
        <w:t xml:space="preserve"> (2018)</w:t>
      </w:r>
      <w:r w:rsidR="00B12E93">
        <w:rPr>
          <w:lang w:val="en-GB"/>
        </w:rPr>
        <w:t>,</w:t>
      </w:r>
      <w:r w:rsidR="00A835FE">
        <w:rPr>
          <w:lang w:val="en-GB"/>
        </w:rPr>
        <w:t xml:space="preserve"> </w:t>
      </w:r>
      <w:r w:rsidRPr="003F7D6B">
        <w:rPr>
          <w:lang w:val="en-GB"/>
        </w:rPr>
        <w:t xml:space="preserve">computing technology has significant </w:t>
      </w:r>
      <w:proofErr w:type="spellStart"/>
      <w:r w:rsidRPr="003F7D6B">
        <w:rPr>
          <w:lang w:val="en-GB"/>
        </w:rPr>
        <w:t>backcoupling</w:t>
      </w:r>
      <w:proofErr w:type="spellEnd"/>
      <w:r w:rsidRPr="003F7D6B">
        <w:rPr>
          <w:lang w:val="en-GB"/>
        </w:rPr>
        <w:t xml:space="preserve"> effects on humans </w:t>
      </w:r>
      <w:r w:rsidRPr="00D51154">
        <w:rPr>
          <w:noProof/>
          <w:lang w:val="en-GB"/>
        </w:rPr>
        <w:drawing>
          <wp:anchor distT="0" distB="0" distL="114300" distR="114300" simplePos="0" relativeHeight="251659264" behindDoc="0" locked="0" layoutInCell="1" allowOverlap="1" wp14:anchorId="67E9E49C" wp14:editId="521E0E96">
            <wp:simplePos x="0" y="0"/>
            <wp:positionH relativeFrom="margin">
              <wp:posOffset>1304290</wp:posOffset>
            </wp:positionH>
            <wp:positionV relativeFrom="paragraph">
              <wp:posOffset>466725</wp:posOffset>
            </wp:positionV>
            <wp:extent cx="3581400" cy="2835275"/>
            <wp:effectExtent l="0" t="0" r="0" b="317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283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7D6B">
        <w:rPr>
          <w:lang w:val="en-GB"/>
        </w:rPr>
        <w:t>and computer science.</w:t>
      </w:r>
    </w:p>
    <w:p w14:paraId="47B0BA17" w14:textId="3C8B2359" w:rsidR="00D51154" w:rsidRPr="006877ED" w:rsidRDefault="00D51154" w:rsidP="00D51154">
      <w:pPr>
        <w:pStyle w:val="Textkrper"/>
        <w:ind w:firstLine="0"/>
        <w:rPr>
          <w:lang w:val="en-GB"/>
        </w:rPr>
      </w:pPr>
    </w:p>
    <w:p w14:paraId="2E61ACDA" w14:textId="2E35CEA9" w:rsidR="003F7D6B" w:rsidRDefault="00D51154" w:rsidP="003F7D6B">
      <w:pPr>
        <w:pStyle w:val="FigTitle"/>
      </w:pPr>
      <w:r w:rsidRPr="00D51154">
        <w:t>Figure 1. Model of interdependencies between CS and environmen</w:t>
      </w:r>
      <w:r w:rsidR="003F7D6B">
        <w:t>t</w:t>
      </w:r>
    </w:p>
    <w:p w14:paraId="139B3C3F" w14:textId="3467472D" w:rsidR="00D51154" w:rsidRDefault="00D51154" w:rsidP="003F7D6B">
      <w:pPr>
        <w:pStyle w:val="berschrift2"/>
        <w:jc w:val="both"/>
      </w:pPr>
      <w:r>
        <w:t>Implications on CS Education</w:t>
      </w:r>
    </w:p>
    <w:p w14:paraId="1EC35CBB" w14:textId="57CE5068" w:rsidR="0081336D" w:rsidRDefault="003F7D6B" w:rsidP="003F7D6B">
      <w:pPr>
        <w:rPr>
          <w:lang w:val="en-GB"/>
        </w:rPr>
      </w:pPr>
      <w:r w:rsidRPr="003F7D6B">
        <w:rPr>
          <w:lang w:val="en-GB"/>
        </w:rPr>
        <w:t xml:space="preserve">Computer science education </w:t>
      </w:r>
      <w:r w:rsidR="00B12E93">
        <w:rPr>
          <w:lang w:val="en-GB"/>
        </w:rPr>
        <w:t xml:space="preserve">must be aligned accordingly to responsibly and sustainably </w:t>
      </w:r>
      <w:r w:rsidRPr="003F7D6B">
        <w:rPr>
          <w:lang w:val="en-GB"/>
        </w:rPr>
        <w:t>handle transformative technology like AI responsibly and sustainably. This implies at least the following objectives</w:t>
      </w:r>
      <w:r w:rsidR="00DA7548">
        <w:rPr>
          <w:lang w:val="en-GB"/>
        </w:rPr>
        <w:t>.</w:t>
      </w:r>
      <w:r w:rsidRPr="003F7D6B">
        <w:rPr>
          <w:lang w:val="en-GB"/>
        </w:rPr>
        <w:t xml:space="preserve"> Make society CS </w:t>
      </w:r>
      <w:r w:rsidR="00B12E93">
        <w:rPr>
          <w:lang w:val="en-GB"/>
        </w:rPr>
        <w:t>and AI literate, which includes teaching basic knowledge about AI to all, for example</w:t>
      </w:r>
      <w:r w:rsidR="0081336D">
        <w:rPr>
          <w:lang w:val="en-GB"/>
        </w:rPr>
        <w:t xml:space="preserve">, </w:t>
      </w:r>
      <w:r w:rsidRPr="003F7D6B">
        <w:rPr>
          <w:lang w:val="en-GB"/>
        </w:rPr>
        <w:t>and practicing the appropriate handling of digital systems and artifacts.</w:t>
      </w:r>
      <w:r w:rsidR="00956C62">
        <w:rPr>
          <w:lang w:val="en-GB"/>
        </w:rPr>
        <w:t xml:space="preserve"> </w:t>
      </w:r>
      <w:r w:rsidR="0081336D">
        <w:rPr>
          <w:lang w:val="en-GB"/>
        </w:rPr>
        <w:t xml:space="preserve">The basic knowledge </w:t>
      </w:r>
      <w:r w:rsidR="00B12E93">
        <w:rPr>
          <w:lang w:val="en-GB"/>
        </w:rPr>
        <w:t>can be</w:t>
      </w:r>
      <w:r w:rsidR="00FC5291">
        <w:rPr>
          <w:lang w:val="en-GB"/>
        </w:rPr>
        <w:t xml:space="preserve"> adapted from the framework of Long &amp; </w:t>
      </w:r>
      <w:proofErr w:type="spellStart"/>
      <w:r w:rsidR="00FC5291">
        <w:rPr>
          <w:lang w:val="en-GB"/>
        </w:rPr>
        <w:t>Magerko</w:t>
      </w:r>
      <w:proofErr w:type="spellEnd"/>
      <w:r w:rsidR="00FC5291">
        <w:rPr>
          <w:lang w:val="en-GB"/>
        </w:rPr>
        <w:t xml:space="preserve"> (2020)</w:t>
      </w:r>
      <w:r w:rsidR="00B12E93">
        <w:rPr>
          <w:lang w:val="en-GB"/>
        </w:rPr>
        <w:t>, for instance</w:t>
      </w:r>
      <w:r w:rsidR="00FC5291">
        <w:rPr>
          <w:lang w:val="en-GB"/>
        </w:rPr>
        <w:t>,</w:t>
      </w:r>
      <w:r w:rsidR="0081336D">
        <w:rPr>
          <w:lang w:val="en-GB"/>
        </w:rPr>
        <w:t xml:space="preserve"> but foremost, it is on the philosophy behind all those </w:t>
      </w:r>
      <w:r w:rsidR="004265E4">
        <w:rPr>
          <w:lang w:val="en-GB"/>
        </w:rPr>
        <w:t>concepts</w:t>
      </w:r>
      <w:r w:rsidR="0081336D">
        <w:rPr>
          <w:lang w:val="en-GB"/>
        </w:rPr>
        <w:t xml:space="preserve">. </w:t>
      </w:r>
      <w:r w:rsidR="00B12E93">
        <w:rPr>
          <w:lang w:val="en-GB"/>
        </w:rPr>
        <w:t>Understanding the change in perspective on digital artifacts and processes is necessary</w:t>
      </w:r>
      <w:r w:rsidR="0081336D">
        <w:rPr>
          <w:lang w:val="en-GB"/>
        </w:rPr>
        <w:t xml:space="preserve">. As </w:t>
      </w:r>
      <w:proofErr w:type="spellStart"/>
      <w:r w:rsidR="00B12E93">
        <w:rPr>
          <w:lang w:val="en-GB"/>
        </w:rPr>
        <w:t>Tedre</w:t>
      </w:r>
      <w:proofErr w:type="spellEnd"/>
      <w:r w:rsidR="00B12E93">
        <w:rPr>
          <w:lang w:val="en-GB"/>
        </w:rPr>
        <w:t xml:space="preserve"> et al. (2021) described, a new way of computational thinking evolved</w:t>
      </w:r>
      <w:r w:rsidR="0081336D">
        <w:rPr>
          <w:lang w:val="en-GB"/>
        </w:rPr>
        <w:t xml:space="preserve"> from this change. Finally, there is a huge </w:t>
      </w:r>
      <w:r w:rsidR="00B12E93">
        <w:rPr>
          <w:lang w:val="en-GB"/>
        </w:rPr>
        <w:t>necessity to change the understanding of computer science education by only teaching technical or digital perspectives</w:t>
      </w:r>
      <w:r w:rsidR="0081336D">
        <w:rPr>
          <w:lang w:val="en-GB"/>
        </w:rPr>
        <w:t xml:space="preserve"> as proposed by the </w:t>
      </w:r>
      <w:proofErr w:type="spellStart"/>
      <w:r w:rsidR="003E6AFB">
        <w:rPr>
          <w:lang w:val="en-GB"/>
        </w:rPr>
        <w:t>Dagstuhl</w:t>
      </w:r>
      <w:proofErr w:type="spellEnd"/>
      <w:r w:rsidR="003E6AFB">
        <w:rPr>
          <w:lang w:val="en-GB"/>
        </w:rPr>
        <w:t xml:space="preserve"> triangle. Moreover, it is necessary to include the different interdependencies between AI and the environment. </w:t>
      </w:r>
      <w:r w:rsidR="00B12E93">
        <w:rPr>
          <w:lang w:val="en-GB"/>
        </w:rPr>
        <w:t>A</w:t>
      </w:r>
      <w:r w:rsidR="003E6AFB">
        <w:rPr>
          <w:lang w:val="en-GB"/>
        </w:rPr>
        <w:t xml:space="preserve"> huge opportunity arises in making AI a nucleus for </w:t>
      </w:r>
      <w:r w:rsidR="00B12E93">
        <w:rPr>
          <w:lang w:val="en-GB"/>
        </w:rPr>
        <w:t>subject-inclusive</w:t>
      </w:r>
      <w:r w:rsidR="003E6AFB">
        <w:rPr>
          <w:lang w:val="en-GB"/>
        </w:rPr>
        <w:t xml:space="preserve"> teaching</w:t>
      </w:r>
      <w:r w:rsidR="007B19D6">
        <w:rPr>
          <w:lang w:val="en-GB"/>
        </w:rPr>
        <w:t xml:space="preserve"> (e.g., </w:t>
      </w:r>
      <w:proofErr w:type="spellStart"/>
      <w:r w:rsidR="007B19D6">
        <w:rPr>
          <w:lang w:val="en-GB"/>
        </w:rPr>
        <w:t>Xie</w:t>
      </w:r>
      <w:proofErr w:type="spellEnd"/>
      <w:r w:rsidR="007B19D6">
        <w:rPr>
          <w:lang w:val="en-GB"/>
        </w:rPr>
        <w:t xml:space="preserve"> et al., 2024)</w:t>
      </w:r>
      <w:r w:rsidR="003E6AFB">
        <w:rPr>
          <w:lang w:val="en-GB"/>
        </w:rPr>
        <w:t xml:space="preserve">. We have to discuss the </w:t>
      </w:r>
      <w:r w:rsidR="00B12E93">
        <w:rPr>
          <w:lang w:val="en-GB"/>
        </w:rPr>
        <w:t>formation of the environment through</w:t>
      </w:r>
      <w:r w:rsidR="003E6AFB">
        <w:rPr>
          <w:lang w:val="en-GB"/>
        </w:rPr>
        <w:t xml:space="preserve"> AI/CS artifacts in computer science education. In the end</w:t>
      </w:r>
      <w:r w:rsidR="00B12E93">
        <w:rPr>
          <w:lang w:val="en-GB"/>
        </w:rPr>
        <w:t>,</w:t>
      </w:r>
      <w:r w:rsidR="003E6AFB">
        <w:rPr>
          <w:lang w:val="en-GB"/>
        </w:rPr>
        <w:t xml:space="preserve"> this is nothing more than expanding the area of computer science and society to interdependencies between CS and environment relating to, for instance, </w:t>
      </w:r>
      <w:r w:rsidR="00FC5291">
        <w:rPr>
          <w:lang w:val="en-GB"/>
        </w:rPr>
        <w:t>sustainability</w:t>
      </w:r>
      <w:r w:rsidR="003E6AFB">
        <w:rPr>
          <w:lang w:val="en-GB"/>
        </w:rPr>
        <w:t xml:space="preserve"> (e.g., </w:t>
      </w:r>
      <w:r w:rsidR="00B12E93">
        <w:rPr>
          <w:lang w:val="en-GB"/>
        </w:rPr>
        <w:t xml:space="preserve">the </w:t>
      </w:r>
      <w:r w:rsidR="003E6AFB">
        <w:rPr>
          <w:lang w:val="en-GB"/>
        </w:rPr>
        <w:t xml:space="preserve">energy needed for training AI models), impacts on democracies (e.g., algorithms on social media, biases in AI systems, </w:t>
      </w:r>
      <w:r w:rsidR="00FC5291">
        <w:rPr>
          <w:lang w:val="en-GB"/>
        </w:rPr>
        <w:t>post-factual</w:t>
      </w:r>
      <w:r w:rsidR="003E6AFB">
        <w:rPr>
          <w:lang w:val="en-GB"/>
        </w:rPr>
        <w:t xml:space="preserve"> information retrieval)</w:t>
      </w:r>
      <w:r w:rsidR="00B12E93">
        <w:rPr>
          <w:lang w:val="en-GB"/>
        </w:rPr>
        <w:t>, new economic business models, or the impact of big data on society.</w:t>
      </w:r>
    </w:p>
    <w:p w14:paraId="77F8108E" w14:textId="19B5FFE7" w:rsidR="00DA7548" w:rsidRDefault="00B12E93" w:rsidP="003F7D6B">
      <w:pPr>
        <w:rPr>
          <w:lang w:val="en-GB"/>
        </w:rPr>
      </w:pPr>
      <w:r>
        <w:rPr>
          <w:lang w:val="en-GB"/>
        </w:rPr>
        <w:t>Second, re</w:t>
      </w:r>
      <w:r w:rsidR="00893896">
        <w:rPr>
          <w:lang w:val="en-GB"/>
        </w:rPr>
        <w:t xml:space="preserve">-think computer science teacher education. </w:t>
      </w:r>
      <w:r w:rsidR="00DA7548">
        <w:rPr>
          <w:lang w:val="en-GB"/>
        </w:rPr>
        <w:t xml:space="preserve">The described change in perspective and the interdependencies also </w:t>
      </w:r>
      <w:r>
        <w:rPr>
          <w:lang w:val="en-GB"/>
        </w:rPr>
        <w:t>affect</w:t>
      </w:r>
      <w:r w:rsidR="00DA7548">
        <w:rPr>
          <w:lang w:val="en-GB"/>
        </w:rPr>
        <w:t xml:space="preserve"> teacher training. AI is not just another topic</w:t>
      </w:r>
      <w:r>
        <w:rPr>
          <w:lang w:val="en-GB"/>
        </w:rPr>
        <w:t xml:space="preserve">, like a more efficient search algorithm, that can </w:t>
      </w:r>
      <w:r w:rsidR="00DA7548">
        <w:rPr>
          <w:lang w:val="en-GB"/>
        </w:rPr>
        <w:t>be taught to children</w:t>
      </w:r>
      <w:r w:rsidR="00893896">
        <w:rPr>
          <w:lang w:val="en-GB"/>
        </w:rPr>
        <w:t>,</w:t>
      </w:r>
      <w:r w:rsidR="00DA7548">
        <w:rPr>
          <w:lang w:val="en-GB"/>
        </w:rPr>
        <w:t xml:space="preserve"> where a small teacher training is </w:t>
      </w:r>
      <w:r w:rsidR="004265E4">
        <w:rPr>
          <w:lang w:val="en-GB"/>
        </w:rPr>
        <w:t>enough</w:t>
      </w:r>
      <w:r w:rsidR="00DA7548">
        <w:rPr>
          <w:lang w:val="en-GB"/>
        </w:rPr>
        <w:t>.</w:t>
      </w:r>
      <w:r w:rsidR="004265E4">
        <w:rPr>
          <w:lang w:val="en-GB"/>
        </w:rPr>
        <w:t xml:space="preserve"> So, </w:t>
      </w:r>
      <w:r w:rsidR="004D01B3">
        <w:rPr>
          <w:lang w:val="en-GB"/>
        </w:rPr>
        <w:t>AI has to be integrated into the teacher training programs as an explicit part</w:t>
      </w:r>
      <w:r>
        <w:rPr>
          <w:lang w:val="en-GB"/>
        </w:rPr>
        <w:t>,</w:t>
      </w:r>
      <w:r w:rsidR="004D01B3">
        <w:rPr>
          <w:lang w:val="en-GB"/>
        </w:rPr>
        <w:t xml:space="preserve"> and in-service teachers have to be taught to teach AI in special professional development programs</w:t>
      </w:r>
      <w:r>
        <w:rPr>
          <w:lang w:val="en-GB"/>
        </w:rPr>
        <w:t>,</w:t>
      </w:r>
      <w:r w:rsidR="004D01B3">
        <w:rPr>
          <w:lang w:val="en-GB"/>
        </w:rPr>
        <w:t xml:space="preserve"> extending their knowledge beyond regular CS (Linder &amp; Berges, 2024)</w:t>
      </w:r>
    </w:p>
    <w:p w14:paraId="2AC3F53E" w14:textId="6FB71AA6" w:rsidR="003F7D6B" w:rsidRPr="003F7D6B" w:rsidRDefault="004D01B3" w:rsidP="003F7D6B">
      <w:pPr>
        <w:rPr>
          <w:lang w:val="en-GB"/>
        </w:rPr>
      </w:pPr>
      <w:r>
        <w:rPr>
          <w:lang w:val="en-GB"/>
        </w:rPr>
        <w:t>Last</w:t>
      </w:r>
      <w:r w:rsidR="003F7D6B" w:rsidRPr="003F7D6B">
        <w:rPr>
          <w:lang w:val="en-GB"/>
        </w:rPr>
        <w:t>, train developers in decision-making regarding the sustainable development of transformative technologies: One must always consider the impact of a new feature beforehand. Limits of digitalization, in general, will also have to be discussed in this context.</w:t>
      </w:r>
      <w:r>
        <w:rPr>
          <w:lang w:val="en-GB"/>
        </w:rPr>
        <w:t xml:space="preserve"> This discussion starts in secondary schools involving the developers </w:t>
      </w:r>
      <w:r w:rsidR="00B12E93">
        <w:rPr>
          <w:lang w:val="en-GB"/>
        </w:rPr>
        <w:t>starting</w:t>
      </w:r>
      <w:r>
        <w:rPr>
          <w:lang w:val="en-GB"/>
        </w:rPr>
        <w:t xml:space="preserve"> tomorrow. So, to address all the needs of interdependencies between CS/AI and the environment, not only the possibilities of upcoming transformative technologies like AI have to be integrated </w:t>
      </w:r>
      <w:r w:rsidR="00B12E93">
        <w:rPr>
          <w:lang w:val="en-GB"/>
        </w:rPr>
        <w:t>into</w:t>
      </w:r>
      <w:r>
        <w:rPr>
          <w:lang w:val="en-GB"/>
        </w:rPr>
        <w:t xml:space="preserve"> curricula, but also a discussion</w:t>
      </w:r>
      <w:r w:rsidR="00B12E93">
        <w:rPr>
          <w:lang w:val="en-GB"/>
        </w:rPr>
        <w:t>,</w:t>
      </w:r>
      <w:r>
        <w:rPr>
          <w:lang w:val="en-GB"/>
        </w:rPr>
        <w:t xml:space="preserve"> </w:t>
      </w:r>
      <w:r>
        <w:rPr>
          <w:lang w:val="en-GB"/>
        </w:rPr>
        <w:lastRenderedPageBreak/>
        <w:t>respectively the needed underlying knowledge of what the society wants to be like in the future under the impact of these technologies.</w:t>
      </w:r>
    </w:p>
    <w:p w14:paraId="73483C8E" w14:textId="183C32C6" w:rsidR="004D01B3" w:rsidRDefault="004D01B3" w:rsidP="004D01B3">
      <w:pPr>
        <w:pStyle w:val="berschrift2"/>
      </w:pPr>
      <w:r>
        <w:t>Conclusion</w:t>
      </w:r>
    </w:p>
    <w:p w14:paraId="78A11DD0" w14:textId="5D7B2D34" w:rsidR="003F7D6B" w:rsidRPr="003F7D6B" w:rsidRDefault="004D01B3" w:rsidP="003F7D6B">
      <w:pPr>
        <w:rPr>
          <w:lang w:val="en-GB"/>
        </w:rPr>
      </w:pPr>
      <w:r>
        <w:rPr>
          <w:lang w:val="en-GB"/>
        </w:rPr>
        <w:t xml:space="preserve">All in all, </w:t>
      </w:r>
      <w:r w:rsidR="003B0548">
        <w:rPr>
          <w:lang w:val="en-GB"/>
        </w:rPr>
        <w:t>transformative technologies</w:t>
      </w:r>
      <w:r w:rsidR="007F7D9E">
        <w:rPr>
          <w:lang w:val="en-GB"/>
        </w:rPr>
        <w:t xml:space="preserve"> like AI</w:t>
      </w:r>
      <w:r w:rsidR="003B0548">
        <w:rPr>
          <w:lang w:val="en-GB"/>
        </w:rPr>
        <w:t xml:space="preserve"> cause the need </w:t>
      </w:r>
      <w:r w:rsidR="007F7D9E">
        <w:rPr>
          <w:lang w:val="en-GB"/>
        </w:rPr>
        <w:t>to rethink</w:t>
      </w:r>
      <w:r w:rsidR="003B0548">
        <w:rPr>
          <w:lang w:val="en-GB"/>
        </w:rPr>
        <w:t xml:space="preserve"> </w:t>
      </w:r>
      <w:r w:rsidR="007F7D9E">
        <w:rPr>
          <w:lang w:val="en-GB"/>
        </w:rPr>
        <w:t xml:space="preserve">the subject and its teaching. </w:t>
      </w:r>
      <w:r w:rsidR="003F7D6B" w:rsidRPr="003F7D6B">
        <w:rPr>
          <w:lang w:val="en-GB"/>
        </w:rPr>
        <w:t>We plan to conduct further research on the interdependencies between computer science</w:t>
      </w:r>
      <w:r w:rsidR="00B12E93">
        <w:rPr>
          <w:lang w:val="en-GB"/>
        </w:rPr>
        <w:t>, AI</w:t>
      </w:r>
      <w:r w:rsidR="007F7D9E">
        <w:rPr>
          <w:lang w:val="en-GB"/>
        </w:rPr>
        <w:t>,</w:t>
      </w:r>
      <w:r w:rsidR="003F7D6B" w:rsidRPr="003F7D6B">
        <w:rPr>
          <w:lang w:val="en-GB"/>
        </w:rPr>
        <w:t xml:space="preserve"> and the environment. With a more detailed understanding of these, we hope to </w:t>
      </w:r>
      <w:r w:rsidR="007F7D9E">
        <w:rPr>
          <w:lang w:val="en-GB"/>
        </w:rPr>
        <w:t xml:space="preserve">address the needs and </w:t>
      </w:r>
      <w:r w:rsidR="003F7D6B" w:rsidRPr="003F7D6B">
        <w:rPr>
          <w:lang w:val="en-GB"/>
        </w:rPr>
        <w:t xml:space="preserve">identify concrete and efficient approaches to </w:t>
      </w:r>
      <w:r w:rsidR="007F7D9E">
        <w:rPr>
          <w:lang w:val="en-GB"/>
        </w:rPr>
        <w:t>teaching them after rebuilding curricula in computer science education.</w:t>
      </w:r>
    </w:p>
    <w:p w14:paraId="03B74074" w14:textId="186CF6B9" w:rsidR="00E259FD" w:rsidRDefault="00B956F8" w:rsidP="003F7D6B">
      <w:pPr>
        <w:pStyle w:val="berschrift2"/>
      </w:pPr>
      <w:r>
        <w:t>References</w:t>
      </w:r>
    </w:p>
    <w:p w14:paraId="76542404" w14:textId="77777777" w:rsidR="003F7D6B" w:rsidRDefault="003F7D6B" w:rsidP="003F7D6B">
      <w:pPr>
        <w:pStyle w:val="References"/>
      </w:pPr>
      <w:r>
        <w:t xml:space="preserve">Brinda, T., &amp; </w:t>
      </w:r>
      <w:proofErr w:type="spellStart"/>
      <w:r>
        <w:t>Diethelm</w:t>
      </w:r>
      <w:proofErr w:type="spellEnd"/>
      <w:r>
        <w:t xml:space="preserve">, I. (2017). Education in the Digital Networked World. In A. </w:t>
      </w:r>
      <w:proofErr w:type="spellStart"/>
      <w:r>
        <w:t>Tatnall</w:t>
      </w:r>
      <w:proofErr w:type="spellEnd"/>
      <w:r>
        <w:t xml:space="preserve"> &amp; M. Webb (Eds.), IFIP Advances in Information and Communication Technology: Vol. 515, Tomorrow's learning: Involving everyone: Learning with and about technologies and computing: 11th IFIP TC 3 World Conference on Computers in Education, WCCE 2017, Dublin, Ireland, July 3-6, 2017 : Revised selected papers (pp. 653–657). Springer.</w:t>
      </w:r>
    </w:p>
    <w:p w14:paraId="14F6B620" w14:textId="77777777" w:rsidR="003F7D6B" w:rsidRDefault="003F7D6B" w:rsidP="003F7D6B">
      <w:pPr>
        <w:pStyle w:val="References"/>
      </w:pPr>
      <w:r>
        <w:t>Brundtland, G. H. (1987). Our common future. http://www.un-documents.net/ocf-ov.htm UN document A/42/427.</w:t>
      </w:r>
    </w:p>
    <w:p w14:paraId="57B5B4A1" w14:textId="77777777" w:rsidR="003F7D6B" w:rsidRDefault="003F7D6B" w:rsidP="003F7D6B">
      <w:pPr>
        <w:pStyle w:val="References"/>
      </w:pPr>
      <w:r w:rsidRPr="003F7D6B">
        <w:rPr>
          <w:lang w:val="de-DE"/>
        </w:rPr>
        <w:t xml:space="preserve">Diethelm, I., Hubwieser, P., &amp; Klaus, R. (2012). </w:t>
      </w:r>
      <w:r>
        <w:t xml:space="preserve">Students, teachers and phenomena: Educational reconstruction for computer science education. In Proceedings of the 12th </w:t>
      </w:r>
      <w:proofErr w:type="spellStart"/>
      <w:r>
        <w:t>Koli</w:t>
      </w:r>
      <w:proofErr w:type="spellEnd"/>
      <w:r>
        <w:t xml:space="preserve"> Calling International Conference on Computing Education Research - </w:t>
      </w:r>
      <w:proofErr w:type="spellStart"/>
      <w:r>
        <w:t>Koli</w:t>
      </w:r>
      <w:proofErr w:type="spellEnd"/>
      <w:r>
        <w:t xml:space="preserve"> Calling '12. ACM Press. https://doi.org/10.1145/2401796.2401823.</w:t>
      </w:r>
    </w:p>
    <w:p w14:paraId="70DF5782" w14:textId="77777777" w:rsidR="003F7D6B" w:rsidRDefault="003F7D6B" w:rsidP="003F7D6B">
      <w:pPr>
        <w:pStyle w:val="References"/>
      </w:pPr>
      <w:r>
        <w:t xml:space="preserve">Gardiner, W. L. (1989). Forecasting, planning and the future of the information society. In High technology workplaces: Integrating technology, management, and design for productive work environments, </w:t>
      </w:r>
      <w:proofErr w:type="spellStart"/>
      <w:r>
        <w:t>Goumain</w:t>
      </w:r>
      <w:proofErr w:type="spellEnd"/>
      <w:r>
        <w:t>, P. (Ed.). Van Nostrand Reinhold, New York, 27–39.</w:t>
      </w:r>
    </w:p>
    <w:p w14:paraId="735DB23E" w14:textId="2CD4B31C" w:rsidR="003F7D6B" w:rsidRDefault="003F7D6B" w:rsidP="003F7D6B">
      <w:pPr>
        <w:pStyle w:val="References"/>
      </w:pPr>
      <w:r>
        <w:t xml:space="preserve">Lindner, A., &amp; Berges, M. (2024). Reconstruction of Transformative CS Topics in Education: A Model Proposal for Artificial Intelligence. Journal of Digital Life and Learning, 4(1), 25–42. </w:t>
      </w:r>
      <w:hyperlink r:id="rId8" w:history="1">
        <w:r w:rsidR="007F7D9E" w:rsidRPr="00B152B0">
          <w:rPr>
            <w:rStyle w:val="Hyperlink"/>
          </w:rPr>
          <w:t>https://doi.org/10.51357/jdll.v4i1.274</w:t>
        </w:r>
      </w:hyperlink>
      <w:r>
        <w:t>.</w:t>
      </w:r>
    </w:p>
    <w:p w14:paraId="76E80DC3" w14:textId="79063B9A" w:rsidR="00A835FE" w:rsidRDefault="00A835FE" w:rsidP="003F7D6B">
      <w:pPr>
        <w:pStyle w:val="References"/>
      </w:pPr>
      <w:r w:rsidRPr="00A835FE">
        <w:t xml:space="preserve">Schulte, C., &amp; </w:t>
      </w:r>
      <w:proofErr w:type="spellStart"/>
      <w:r w:rsidRPr="00A835FE">
        <w:t>Budde</w:t>
      </w:r>
      <w:proofErr w:type="spellEnd"/>
      <w:r w:rsidRPr="00A835FE">
        <w:t xml:space="preserve">, L. (2018). A Framework for Computing Education. In M. Joy (Ed.), ACM Other conferences, Proceedings of the 18th </w:t>
      </w:r>
      <w:proofErr w:type="spellStart"/>
      <w:r w:rsidRPr="00A835FE">
        <w:t>Koli</w:t>
      </w:r>
      <w:proofErr w:type="spellEnd"/>
      <w:r w:rsidRPr="00A835FE">
        <w:t xml:space="preserve"> Calling International Conference on Computing Education Research (pp. 1–10). ACM. https://doi.org/10.1145/3279720.3279733</w:t>
      </w:r>
    </w:p>
    <w:p w14:paraId="6EFB888D" w14:textId="350F5069" w:rsidR="007F7D9E" w:rsidRDefault="007F7D9E" w:rsidP="003F7D6B">
      <w:pPr>
        <w:pStyle w:val="References"/>
      </w:pPr>
      <w:proofErr w:type="spellStart"/>
      <w:r w:rsidRPr="007F7D9E">
        <w:t>Tedre</w:t>
      </w:r>
      <w:proofErr w:type="spellEnd"/>
      <w:r w:rsidRPr="007F7D9E">
        <w:t xml:space="preserve">, M., Denning, P., &amp; </w:t>
      </w:r>
      <w:proofErr w:type="spellStart"/>
      <w:r w:rsidRPr="007F7D9E">
        <w:t>Toivonen</w:t>
      </w:r>
      <w:proofErr w:type="spellEnd"/>
      <w:r w:rsidRPr="007F7D9E">
        <w:t xml:space="preserve">, T. (2021). Ct 2.0. In O. </w:t>
      </w:r>
      <w:proofErr w:type="spellStart"/>
      <w:r w:rsidRPr="007F7D9E">
        <w:t>Seppälä</w:t>
      </w:r>
      <w:proofErr w:type="spellEnd"/>
      <w:r w:rsidRPr="007F7D9E">
        <w:t xml:space="preserve"> (Ed.), ACM Digital Library, 21st </w:t>
      </w:r>
      <w:proofErr w:type="spellStart"/>
      <w:r w:rsidRPr="007F7D9E">
        <w:t>Koli</w:t>
      </w:r>
      <w:proofErr w:type="spellEnd"/>
      <w:r w:rsidRPr="007F7D9E">
        <w:t xml:space="preserve"> Calling International Conference on Computing Education Research (pp. 1–8). Association for Computing Machinery. </w:t>
      </w:r>
      <w:hyperlink r:id="rId9" w:history="1">
        <w:r w:rsidR="007B19D6" w:rsidRPr="00B152B0">
          <w:rPr>
            <w:rStyle w:val="Hyperlink"/>
          </w:rPr>
          <w:t>https://doi.org/10.1145/3488042.3488053</w:t>
        </w:r>
      </w:hyperlink>
    </w:p>
    <w:p w14:paraId="4F354CDE" w14:textId="29C50FC2" w:rsidR="007B19D6" w:rsidRDefault="007B19D6" w:rsidP="003F7D6B">
      <w:pPr>
        <w:pStyle w:val="References"/>
      </w:pPr>
      <w:proofErr w:type="spellStart"/>
      <w:r w:rsidRPr="007B19D6">
        <w:t>Xie</w:t>
      </w:r>
      <w:proofErr w:type="spellEnd"/>
      <w:r w:rsidRPr="007B19D6">
        <w:t xml:space="preserve">, B., Sarin, P., Wolf, J., Garcia, R. C. C., Delaney, V., Sieh, I., </w:t>
      </w:r>
      <w:proofErr w:type="spellStart"/>
      <w:r w:rsidRPr="007B19D6">
        <w:t>Fuloria</w:t>
      </w:r>
      <w:proofErr w:type="spellEnd"/>
      <w:r w:rsidRPr="007B19D6">
        <w:t xml:space="preserve">, A., </w:t>
      </w:r>
      <w:proofErr w:type="spellStart"/>
      <w:r w:rsidRPr="007B19D6">
        <w:t>Varuvel</w:t>
      </w:r>
      <w:proofErr w:type="spellEnd"/>
      <w:r w:rsidRPr="007B19D6">
        <w:t xml:space="preserve"> Dennison, D., Bywater, C., &amp; Lee, V. R. (2024). Co-designing AI Education Curriculum with Cross-Disciplinary High School Teachers. Proceedings of the AAAI Conference on Artificial Intelligence, 38(21), 23146–23154. https://doi.org/10.1609/aaai.v38i21.30360</w:t>
      </w:r>
    </w:p>
    <w:p w14:paraId="556F6518" w14:textId="77777777" w:rsidR="00C27700" w:rsidRDefault="00C27700" w:rsidP="00C27700">
      <w:pPr>
        <w:pStyle w:val="References"/>
      </w:pPr>
    </w:p>
    <w:p w14:paraId="0CF8232B" w14:textId="7CA13016" w:rsidR="00C27700" w:rsidRPr="00C27700" w:rsidRDefault="00C27700" w:rsidP="00C27700">
      <w:pPr>
        <w:pStyle w:val="References"/>
        <w:ind w:left="0" w:firstLine="0"/>
      </w:pPr>
    </w:p>
    <w:sectPr w:rsidR="00C27700" w:rsidRPr="00C27700" w:rsidSect="00C27700">
      <w:headerReference w:type="default" r:id="rId10"/>
      <w:pgSz w:w="11894" w:h="16834" w:code="124"/>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F1E6" w14:textId="77777777" w:rsidR="00361E24" w:rsidRDefault="00361E24">
      <w:r>
        <w:separator/>
      </w:r>
    </w:p>
  </w:endnote>
  <w:endnote w:type="continuationSeparator" w:id="0">
    <w:p w14:paraId="56FFD9A5" w14:textId="77777777" w:rsidR="00361E24" w:rsidRDefault="0036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5459" w14:textId="77777777" w:rsidR="00361E24" w:rsidRDefault="00361E24">
      <w:r>
        <w:separator/>
      </w:r>
    </w:p>
  </w:footnote>
  <w:footnote w:type="continuationSeparator" w:id="0">
    <w:p w14:paraId="1CCEBC47" w14:textId="77777777" w:rsidR="00361E24" w:rsidRDefault="0036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3B20" w14:textId="3D96E6DE" w:rsidR="005F5B48" w:rsidRPr="005F5B48" w:rsidRDefault="008101AB" w:rsidP="005F5B48">
    <w:pPr>
      <w:pStyle w:val="Kopfzeile"/>
      <w:jc w:val="center"/>
    </w:pPr>
    <w:r>
      <w:rPr>
        <w:sz w:val="20"/>
      </w:rPr>
      <w:t xml:space="preserve">Extended </w:t>
    </w:r>
    <w:r w:rsidR="005F5B48" w:rsidRPr="005F5B48">
      <w:rPr>
        <w:sz w:val="20"/>
      </w:rPr>
      <w:t xml:space="preserve">Abstract for the </w:t>
    </w:r>
    <w:r>
      <w:rPr>
        <w:sz w:val="20"/>
      </w:rPr>
      <w:br/>
    </w:r>
    <w:r w:rsidR="002434D4" w:rsidRPr="002434D4">
      <w:rPr>
        <w:i/>
        <w:sz w:val="20"/>
      </w:rPr>
      <w:t>Symposium on Integrating AI and Data Science into School Education Across Disciplines</w:t>
    </w:r>
    <w:r w:rsidR="002434D4">
      <w:rPr>
        <w:i/>
        <w:sz w:val="20"/>
      </w:rPr>
      <w:t xml:space="preserve"> </w:t>
    </w:r>
    <w:r>
      <w:rPr>
        <w:i/>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E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11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8F3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CF0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C76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0510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E44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F4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3378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6E"/>
    <w:rsid w:val="00055348"/>
    <w:rsid w:val="00072F6E"/>
    <w:rsid w:val="0007574D"/>
    <w:rsid w:val="000A6F21"/>
    <w:rsid w:val="000D7E65"/>
    <w:rsid w:val="001A0372"/>
    <w:rsid w:val="001B746E"/>
    <w:rsid w:val="001E0CA8"/>
    <w:rsid w:val="00207293"/>
    <w:rsid w:val="00222F15"/>
    <w:rsid w:val="002434D4"/>
    <w:rsid w:val="00337290"/>
    <w:rsid w:val="00361E24"/>
    <w:rsid w:val="00361FEE"/>
    <w:rsid w:val="003A57B2"/>
    <w:rsid w:val="003B0548"/>
    <w:rsid w:val="003E50C0"/>
    <w:rsid w:val="003E6AFB"/>
    <w:rsid w:val="003F7D6B"/>
    <w:rsid w:val="004265E4"/>
    <w:rsid w:val="004B3651"/>
    <w:rsid w:val="004D01B3"/>
    <w:rsid w:val="004F4171"/>
    <w:rsid w:val="00514BD6"/>
    <w:rsid w:val="00531AE4"/>
    <w:rsid w:val="005543A0"/>
    <w:rsid w:val="00582843"/>
    <w:rsid w:val="005F5B48"/>
    <w:rsid w:val="00683EA2"/>
    <w:rsid w:val="00685E28"/>
    <w:rsid w:val="006877ED"/>
    <w:rsid w:val="00696633"/>
    <w:rsid w:val="006D0864"/>
    <w:rsid w:val="006D5FD3"/>
    <w:rsid w:val="007047CB"/>
    <w:rsid w:val="00770E2A"/>
    <w:rsid w:val="007923C4"/>
    <w:rsid w:val="007B19D6"/>
    <w:rsid w:val="007D3E6E"/>
    <w:rsid w:val="007F7D9E"/>
    <w:rsid w:val="00806C7E"/>
    <w:rsid w:val="00806D1B"/>
    <w:rsid w:val="008101AB"/>
    <w:rsid w:val="0081336D"/>
    <w:rsid w:val="008863B4"/>
    <w:rsid w:val="00893896"/>
    <w:rsid w:val="00926047"/>
    <w:rsid w:val="00956C62"/>
    <w:rsid w:val="00964D08"/>
    <w:rsid w:val="00973A6E"/>
    <w:rsid w:val="009B1618"/>
    <w:rsid w:val="009E6B8C"/>
    <w:rsid w:val="00A07609"/>
    <w:rsid w:val="00A17059"/>
    <w:rsid w:val="00A835FE"/>
    <w:rsid w:val="00B12E93"/>
    <w:rsid w:val="00B271AA"/>
    <w:rsid w:val="00B52C88"/>
    <w:rsid w:val="00B956F8"/>
    <w:rsid w:val="00BA5013"/>
    <w:rsid w:val="00C05D16"/>
    <w:rsid w:val="00C13BBC"/>
    <w:rsid w:val="00C27700"/>
    <w:rsid w:val="00C95488"/>
    <w:rsid w:val="00CA5C40"/>
    <w:rsid w:val="00CF72E3"/>
    <w:rsid w:val="00D51154"/>
    <w:rsid w:val="00DA7548"/>
    <w:rsid w:val="00E05A02"/>
    <w:rsid w:val="00E259FD"/>
    <w:rsid w:val="00EC3467"/>
    <w:rsid w:val="00EC5A9F"/>
    <w:rsid w:val="00F0473A"/>
    <w:rsid w:val="00F354F7"/>
    <w:rsid w:val="00F4730F"/>
    <w:rsid w:val="00FC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D877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806D1B"/>
    <w:pPr>
      <w:ind w:firstLine="720"/>
      <w:jc w:val="both"/>
    </w:pPr>
    <w:rPr>
      <w:sz w:val="22"/>
      <w:lang w:val="en-US" w:eastAsia="en-US"/>
    </w:rPr>
  </w:style>
  <w:style w:type="paragraph" w:styleId="berschrift1">
    <w:name w:val="heading 1"/>
    <w:basedOn w:val="Standard"/>
    <w:next w:val="Standard"/>
    <w:autoRedefine/>
    <w:qFormat/>
    <w:rsid w:val="005543A0"/>
    <w:pPr>
      <w:keepNext/>
      <w:spacing w:after="240"/>
      <w:jc w:val="center"/>
      <w:outlineLvl w:val="0"/>
    </w:pPr>
    <w:rPr>
      <w:b/>
      <w:caps/>
    </w:rPr>
  </w:style>
  <w:style w:type="paragraph" w:styleId="berschrift2">
    <w:name w:val="heading 2"/>
    <w:basedOn w:val="Standard"/>
    <w:next w:val="Standard"/>
    <w:autoRedefine/>
    <w:qFormat/>
    <w:rsid w:val="003F7D6B"/>
    <w:pPr>
      <w:keepNext/>
      <w:spacing w:before="240"/>
      <w:ind w:firstLine="0"/>
      <w:jc w:val="left"/>
      <w:outlineLvl w:val="1"/>
    </w:pPr>
    <w:rPr>
      <w:b/>
      <w:bCs/>
      <w:szCs w:val="22"/>
      <w:lang w:val="en-GB"/>
    </w:rPr>
  </w:style>
  <w:style w:type="paragraph" w:styleId="berschrift3">
    <w:name w:val="heading 3"/>
    <w:basedOn w:val="Standard"/>
    <w:next w:val="Standard"/>
    <w:autoRedefine/>
    <w:qFormat/>
    <w:rsid w:val="005543A0"/>
    <w:pPr>
      <w:keepNext/>
      <w:spacing w:before="120"/>
      <w:outlineLvl w:val="2"/>
    </w:pPr>
    <w:rPr>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rsid w:val="00110D81"/>
  </w:style>
  <w:style w:type="paragraph" w:customStyle="1" w:styleId="Abstract">
    <w:name w:val="Abstract"/>
    <w:basedOn w:val="Standard"/>
    <w:rsid w:val="00783611"/>
    <w:rPr>
      <w:i/>
    </w:rPr>
  </w:style>
  <w:style w:type="character" w:styleId="Hyperlink">
    <w:name w:val="Hyperlink"/>
    <w:rPr>
      <w:color w:val="0000FF"/>
      <w:u w:val="single"/>
    </w:rPr>
  </w:style>
  <w:style w:type="paragraph" w:styleId="Kopfzeile">
    <w:name w:val="header"/>
    <w:basedOn w:val="Standard"/>
    <w:link w:val="KopfzeileZchn"/>
    <w:uiPriority w:val="99"/>
    <w:unhideWhenUsed/>
    <w:rsid w:val="005F5B48"/>
    <w:pPr>
      <w:tabs>
        <w:tab w:val="center" w:pos="4536"/>
        <w:tab w:val="right" w:pos="9072"/>
      </w:tabs>
    </w:pPr>
  </w:style>
  <w:style w:type="character" w:customStyle="1" w:styleId="KopfzeileZchn">
    <w:name w:val="Kopfzeile Zchn"/>
    <w:link w:val="Kopfzeile"/>
    <w:uiPriority w:val="99"/>
    <w:rsid w:val="005F5B48"/>
    <w:rPr>
      <w:sz w:val="22"/>
      <w:lang w:val="en-US" w:eastAsia="en-US"/>
    </w:rPr>
  </w:style>
  <w:style w:type="paragraph" w:customStyle="1" w:styleId="References">
    <w:name w:val="References"/>
    <w:basedOn w:val="Standard"/>
    <w:qFormat/>
    <w:rsid w:val="00C27700"/>
    <w:pPr>
      <w:ind w:left="360" w:hanging="360"/>
    </w:pPr>
  </w:style>
  <w:style w:type="paragraph" w:styleId="Fuzeile">
    <w:name w:val="footer"/>
    <w:basedOn w:val="Standard"/>
    <w:link w:val="FuzeileZchn"/>
    <w:uiPriority w:val="99"/>
    <w:unhideWhenUsed/>
    <w:rsid w:val="005F5B48"/>
    <w:pPr>
      <w:tabs>
        <w:tab w:val="center" w:pos="4536"/>
        <w:tab w:val="right" w:pos="9072"/>
      </w:tabs>
    </w:pPr>
  </w:style>
  <w:style w:type="character" w:customStyle="1" w:styleId="FuzeileZchn">
    <w:name w:val="Fußzeile Zchn"/>
    <w:link w:val="Fuzeile"/>
    <w:uiPriority w:val="99"/>
    <w:rsid w:val="005F5B48"/>
    <w:rPr>
      <w:sz w:val="22"/>
      <w:lang w:val="en-US" w:eastAsia="en-US"/>
    </w:rPr>
  </w:style>
  <w:style w:type="paragraph" w:customStyle="1" w:styleId="FigTitle">
    <w:name w:val="FigTitle"/>
    <w:basedOn w:val="Standard"/>
    <w:qFormat/>
    <w:rsid w:val="006877ED"/>
    <w:pPr>
      <w:autoSpaceDE w:val="0"/>
      <w:autoSpaceDN w:val="0"/>
      <w:adjustRightInd w:val="0"/>
      <w:spacing w:before="120" w:after="120" w:line="320" w:lineRule="atLeast"/>
      <w:jc w:val="center"/>
    </w:pPr>
    <w:rPr>
      <w:b/>
      <w:bCs/>
      <w:szCs w:val="22"/>
    </w:rPr>
  </w:style>
  <w:style w:type="paragraph" w:styleId="KeinLeerraum">
    <w:name w:val="No Spacing"/>
    <w:uiPriority w:val="99"/>
    <w:qFormat/>
    <w:rsid w:val="003E50C0"/>
    <w:pPr>
      <w:ind w:firstLine="709"/>
    </w:pPr>
    <w:rPr>
      <w:sz w:val="22"/>
      <w:lang w:val="en-US" w:eastAsia="en-US"/>
    </w:rPr>
  </w:style>
  <w:style w:type="character" w:styleId="Fett">
    <w:name w:val="Strong"/>
    <w:basedOn w:val="Absatz-Standardschriftart"/>
    <w:uiPriority w:val="22"/>
    <w:qFormat/>
    <w:rsid w:val="003E50C0"/>
    <w:rPr>
      <w:b/>
      <w:bCs/>
    </w:rPr>
  </w:style>
  <w:style w:type="character" w:styleId="Kommentarzeichen">
    <w:name w:val="annotation reference"/>
    <w:rsid w:val="003E50C0"/>
    <w:rPr>
      <w:sz w:val="16"/>
      <w:szCs w:val="16"/>
    </w:rPr>
  </w:style>
  <w:style w:type="paragraph" w:customStyle="1" w:styleId="FocusTopics">
    <w:name w:val="FocusTopics"/>
    <w:basedOn w:val="Standard"/>
    <w:qFormat/>
    <w:rsid w:val="00531AE4"/>
    <w:pPr>
      <w:ind w:firstLine="0"/>
    </w:pPr>
    <w:rPr>
      <w:bCs/>
      <w:i/>
    </w:rPr>
  </w:style>
  <w:style w:type="paragraph" w:styleId="Kommentartext">
    <w:name w:val="annotation text"/>
    <w:basedOn w:val="Standard"/>
    <w:link w:val="KommentartextZchn"/>
    <w:uiPriority w:val="99"/>
    <w:semiHidden/>
    <w:unhideWhenUsed/>
    <w:rsid w:val="00531AE4"/>
    <w:rPr>
      <w:sz w:val="20"/>
    </w:rPr>
  </w:style>
  <w:style w:type="character" w:customStyle="1" w:styleId="KommentartextZchn">
    <w:name w:val="Kommentartext Zchn"/>
    <w:basedOn w:val="Absatz-Standardschriftart"/>
    <w:link w:val="Kommentartext"/>
    <w:uiPriority w:val="99"/>
    <w:semiHidden/>
    <w:rsid w:val="00531AE4"/>
    <w:rPr>
      <w:lang w:val="en-US" w:eastAsia="en-US"/>
    </w:rPr>
  </w:style>
  <w:style w:type="paragraph" w:styleId="Kommentarthema">
    <w:name w:val="annotation subject"/>
    <w:basedOn w:val="Kommentartext"/>
    <w:next w:val="Kommentartext"/>
    <w:link w:val="KommentarthemaZchn"/>
    <w:uiPriority w:val="99"/>
    <w:semiHidden/>
    <w:unhideWhenUsed/>
    <w:rsid w:val="00531AE4"/>
    <w:rPr>
      <w:b/>
      <w:bCs/>
    </w:rPr>
  </w:style>
  <w:style w:type="character" w:customStyle="1" w:styleId="KommentarthemaZchn">
    <w:name w:val="Kommentarthema Zchn"/>
    <w:basedOn w:val="KommentartextZchn"/>
    <w:link w:val="Kommentarthema"/>
    <w:uiPriority w:val="99"/>
    <w:semiHidden/>
    <w:rsid w:val="00531AE4"/>
    <w:rPr>
      <w:b/>
      <w:bCs/>
      <w:lang w:val="en-US" w:eastAsia="en-US"/>
    </w:rPr>
  </w:style>
  <w:style w:type="character" w:styleId="NichtaufgelsteErwhnung">
    <w:name w:val="Unresolved Mention"/>
    <w:basedOn w:val="Absatz-Standardschriftart"/>
    <w:uiPriority w:val="99"/>
    <w:rsid w:val="00531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357/jdll.v4i1.27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45/3488042.3488053"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8410</Characters>
  <Application>Microsoft Office Word</Application>
  <DocSecurity>0</DocSecurity>
  <Lines>121</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Key Words: Statistics Education, Mathematical Statistics, Active Learning, Mathematics Majors</vt:lpstr>
      <vt:lpstr>Key Words: Statistics Education, Mathematical Statistics, Active Learning, Mathematics Majors</vt:lpstr>
    </vt:vector>
  </TitlesOfParts>
  <Company>Dell Computer Corporation</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Statistics Education, Mathematical Statistics, Active Learning, Mathematics Majors</dc:title>
  <dc:subject/>
  <dc:creator>Daniel</dc:creator>
  <cp:keywords/>
  <cp:lastModifiedBy>Berges, Marc-Pascal (DDI)</cp:lastModifiedBy>
  <cp:revision>8</cp:revision>
  <cp:lastPrinted>2001-12-31T11:44:00Z</cp:lastPrinted>
  <dcterms:created xsi:type="dcterms:W3CDTF">2024-12-09T10:24:00Z</dcterms:created>
  <dcterms:modified xsi:type="dcterms:W3CDTF">2024-12-15T22:31:00Z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9ef864c53fcff9cdbad3f74a69b564fdbd123ebba3fe3fd53519c9bc014737d8</vt:lpwstr>
  </property>
</Properties>
</file>